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4A54E" w14:textId="08C315AB" w:rsidR="00B119BE" w:rsidRPr="001A7D1D" w:rsidRDefault="008A2BAD" w:rsidP="001A7D1D">
      <w:pPr>
        <w:spacing w:line="360" w:lineRule="auto"/>
        <w:jc w:val="both"/>
        <w:rPr>
          <w:b/>
          <w:bCs/>
        </w:rPr>
      </w:pPr>
      <w:r w:rsidRPr="001A7D1D">
        <w:rPr>
          <w:b/>
          <w:bCs/>
        </w:rPr>
        <w:t>EFFECTS OF CHATGPT-ASSISTED PRE-LISTENING ACTIVITIES ON LISTENING COMPREHENSION AND COGNITIVE LOAD OF SGU NON-ENGLISH MAJORS</w:t>
      </w:r>
    </w:p>
    <w:p w14:paraId="4DE39AD4" w14:textId="77777777" w:rsidR="00B119BE" w:rsidRPr="001A7D1D" w:rsidRDefault="00B119BE" w:rsidP="001A7D1D">
      <w:pPr>
        <w:spacing w:line="360" w:lineRule="auto"/>
        <w:jc w:val="center"/>
        <w:rPr>
          <w:i/>
          <w:iCs/>
        </w:rPr>
      </w:pPr>
      <w:r w:rsidRPr="001A7D1D">
        <w:rPr>
          <w:i/>
          <w:iCs/>
        </w:rPr>
        <w:t>Phạm Nguyễn Quang Huy</w:t>
      </w:r>
    </w:p>
    <w:p w14:paraId="202DB061" w14:textId="2FEC221F" w:rsidR="00B119BE" w:rsidRPr="001A7D1D" w:rsidRDefault="00B119BE" w:rsidP="001A7D1D">
      <w:pPr>
        <w:jc w:val="both"/>
        <w:rPr>
          <w:b/>
          <w:bCs/>
        </w:rPr>
      </w:pPr>
      <w:r w:rsidRPr="001A7D1D">
        <w:rPr>
          <w:b/>
          <w:bCs/>
        </w:rPr>
        <w:t xml:space="preserve">Abstract </w:t>
      </w:r>
    </w:p>
    <w:p w14:paraId="57E1A621" w14:textId="77777777" w:rsidR="008A2BAD" w:rsidRPr="001A7D1D" w:rsidRDefault="008A2BAD" w:rsidP="001A7D1D">
      <w:pPr>
        <w:tabs>
          <w:tab w:val="left" w:pos="720"/>
        </w:tabs>
        <w:ind w:firstLine="720"/>
        <w:jc w:val="both"/>
      </w:pPr>
      <w:r w:rsidRPr="001A7D1D">
        <w:t>ChatGPT has shown promise in language learning, but its effects on cognitive load during listening remain underexplored. Drawing on Cognitive Load Theory (</w:t>
      </w:r>
      <w:proofErr w:type="spellStart"/>
      <w:r w:rsidRPr="001A7D1D">
        <w:t>Sweller</w:t>
      </w:r>
      <w:proofErr w:type="spellEnd"/>
      <w:r w:rsidRPr="001A7D1D">
        <w:t>, 1988), this mixed-methods study investigated the effects of ChatGPT-assisted pre-listening activities on listening comprehension and cognitive load among 38 non-English majors at Saigon University. A one-group quasi-experimental pre-test–post-test design was employed, followed by a questionnaire and semi-structured interviews. After an eight-week intervention involving vocabulary explanations, content summaries, and prediction questions, participants’ listening comprehension improved significantly (</w:t>
      </w:r>
      <w:r w:rsidRPr="001A7D1D">
        <w:rPr>
          <w:i/>
          <w:iCs/>
        </w:rPr>
        <w:t>M</w:t>
      </w:r>
      <w:r w:rsidRPr="001A7D1D">
        <w:t xml:space="preserve"> = 11.68 vs. 16.45; </w:t>
      </w:r>
      <w:proofErr w:type="gramStart"/>
      <w:r w:rsidRPr="001A7D1D">
        <w:rPr>
          <w:i/>
          <w:iCs/>
        </w:rPr>
        <w:t>t</w:t>
      </w:r>
      <w:r w:rsidRPr="001A7D1D">
        <w:t>(</w:t>
      </w:r>
      <w:proofErr w:type="gramEnd"/>
      <w:r w:rsidRPr="001A7D1D">
        <w:t xml:space="preserve">37) = −7.856, </w:t>
      </w:r>
      <w:r w:rsidRPr="001A7D1D">
        <w:rPr>
          <w:i/>
          <w:iCs/>
        </w:rPr>
        <w:t>p</w:t>
      </w:r>
      <w:r w:rsidRPr="001A7D1D">
        <w:t xml:space="preserve"> &lt; .001). Questionnaire findings indicated relatively high ratings for extraneous cognitive load (</w:t>
      </w:r>
      <w:r w:rsidRPr="001A7D1D">
        <w:rPr>
          <w:i/>
          <w:iCs/>
        </w:rPr>
        <w:t>M</w:t>
      </w:r>
      <w:r w:rsidRPr="001A7D1D">
        <w:t xml:space="preserve"> = 4.34, </w:t>
      </w:r>
      <w:r w:rsidRPr="001A7D1D">
        <w:rPr>
          <w:i/>
          <w:iCs/>
        </w:rPr>
        <w:t>SD</w:t>
      </w:r>
      <w:r w:rsidRPr="001A7D1D">
        <w:t xml:space="preserve"> = 0.62), intrinsic cognitive load (</w:t>
      </w:r>
      <w:r w:rsidRPr="001A7D1D">
        <w:rPr>
          <w:i/>
          <w:iCs/>
        </w:rPr>
        <w:t>M</w:t>
      </w:r>
      <w:r w:rsidRPr="001A7D1D">
        <w:t xml:space="preserve"> = 4.03, </w:t>
      </w:r>
      <w:r w:rsidRPr="001A7D1D">
        <w:rPr>
          <w:i/>
          <w:iCs/>
        </w:rPr>
        <w:t>SD</w:t>
      </w:r>
      <w:r w:rsidRPr="001A7D1D">
        <w:t xml:space="preserve"> = 0.69), and germane cognitive load (</w:t>
      </w:r>
      <w:r w:rsidRPr="001A7D1D">
        <w:rPr>
          <w:i/>
          <w:iCs/>
        </w:rPr>
        <w:t>M</w:t>
      </w:r>
      <w:r w:rsidRPr="001A7D1D">
        <w:t xml:space="preserve"> = 4.26, </w:t>
      </w:r>
      <w:r w:rsidRPr="001A7D1D">
        <w:rPr>
          <w:i/>
          <w:iCs/>
        </w:rPr>
        <w:t>SD</w:t>
      </w:r>
      <w:r w:rsidRPr="001A7D1D">
        <w:t xml:space="preserve"> = 0.63). Thematic analysis further revealed improved listening strategies, greater confidence, and reduced listening anxiety. The findings suggest that ChatGPT-assisted pre-listening activities may support listening comprehension and cognitive load management.</w:t>
      </w:r>
    </w:p>
    <w:p w14:paraId="7852D63D" w14:textId="34D64F48" w:rsidR="00B119BE" w:rsidRPr="001A7D1D" w:rsidRDefault="00B119BE" w:rsidP="001A7D1D">
      <w:pPr>
        <w:tabs>
          <w:tab w:val="left" w:pos="720"/>
        </w:tabs>
        <w:jc w:val="both"/>
      </w:pPr>
      <w:r w:rsidRPr="001A7D1D">
        <w:rPr>
          <w:b/>
          <w:bCs/>
          <w:i/>
          <w:iCs/>
        </w:rPr>
        <w:t>Keywords</w:t>
      </w:r>
      <w:r w:rsidRPr="001A7D1D">
        <w:rPr>
          <w:b/>
          <w:bCs/>
        </w:rPr>
        <w:t>:</w:t>
      </w:r>
      <w:r w:rsidR="00AF366B" w:rsidRPr="001A7D1D">
        <w:rPr>
          <w:b/>
          <w:bCs/>
        </w:rPr>
        <w:t xml:space="preserve"> </w:t>
      </w:r>
      <w:r w:rsidR="00AF366B" w:rsidRPr="001A7D1D">
        <w:t>ChatGPT, cognitive load, listening comprehension, pre-listening activities, non-English majors</w:t>
      </w:r>
    </w:p>
    <w:p w14:paraId="0C831F1F" w14:textId="77777777" w:rsidR="007A7F09" w:rsidRPr="001A7D1D" w:rsidRDefault="007A7F09" w:rsidP="001A7D1D">
      <w:pPr>
        <w:tabs>
          <w:tab w:val="left" w:pos="720"/>
        </w:tabs>
        <w:jc w:val="both"/>
      </w:pPr>
    </w:p>
    <w:p w14:paraId="136C55E1" w14:textId="4FCAF925" w:rsidR="000D1ADE" w:rsidRPr="001A7D1D" w:rsidRDefault="000D1ADE" w:rsidP="001A7D1D">
      <w:pPr>
        <w:pStyle w:val="ListParagraph"/>
        <w:numPr>
          <w:ilvl w:val="0"/>
          <w:numId w:val="3"/>
        </w:numPr>
        <w:tabs>
          <w:tab w:val="left" w:pos="720"/>
        </w:tabs>
        <w:spacing w:line="480" w:lineRule="auto"/>
        <w:jc w:val="center"/>
        <w:rPr>
          <w:b/>
          <w:bCs/>
        </w:rPr>
      </w:pPr>
      <w:r w:rsidRPr="001A7D1D">
        <w:rPr>
          <w:b/>
          <w:bCs/>
        </w:rPr>
        <w:t>Introduction</w:t>
      </w:r>
    </w:p>
    <w:p w14:paraId="4934C580" w14:textId="32AE808E" w:rsidR="00C77B89" w:rsidRPr="001A7D1D" w:rsidRDefault="00C77B89" w:rsidP="001A7D1D">
      <w:pPr>
        <w:tabs>
          <w:tab w:val="left" w:pos="720"/>
        </w:tabs>
        <w:spacing w:line="480" w:lineRule="auto"/>
        <w:ind w:firstLine="720"/>
        <w:jc w:val="both"/>
      </w:pPr>
      <w:r w:rsidRPr="001A7D1D">
        <w:t>Although listening is an important component in learning a second language, it remains a challenging skill for many students. Unlike written language, spoken language is transient, so learners have to process information as it unfolds. This is even more pronounced for low-proficiency students because their limited capacity makes it difficult to process linguistic information and manage working memory. For example, Satori (20</w:t>
      </w:r>
      <w:r w:rsidR="003A7B46">
        <w:t>14</w:t>
      </w:r>
      <w:r w:rsidRPr="001A7D1D">
        <w:t>) found a connection between working memory and L2 listening comprehension among low-ability learners. Thus, the importance of managing cognitive demands during L2 listening should be highlighted when these students encounter unfamiliar listening input.</w:t>
      </w:r>
    </w:p>
    <w:p w14:paraId="3545C23D" w14:textId="08F2CD4B" w:rsidR="00F97580" w:rsidRPr="001A7D1D" w:rsidRDefault="00F97580" w:rsidP="001A7D1D">
      <w:pPr>
        <w:tabs>
          <w:tab w:val="left" w:pos="720"/>
        </w:tabs>
        <w:spacing w:line="480" w:lineRule="auto"/>
        <w:ind w:firstLine="720"/>
        <w:jc w:val="both"/>
      </w:pPr>
      <w:r w:rsidRPr="001A7D1D">
        <w:t xml:space="preserve">To deal with this problem, pre-listening activities should be employed as a potential solution. These activities can provide support to learners in three main ways: introducing relevant vocabulary, activating background knowledge, and directing students' attention toward key information. In fact, multiple studies have proved the effectiveness of such activities because </w:t>
      </w:r>
      <w:r w:rsidRPr="001A7D1D">
        <w:lastRenderedPageBreak/>
        <w:t>previews of vocabulary and questions can help learners improve their listening comprehension</w:t>
      </w:r>
      <w:r w:rsidRPr="001A7D1D">
        <w:t xml:space="preserve"> (</w:t>
      </w:r>
      <w:proofErr w:type="spellStart"/>
      <w:r w:rsidRPr="001A7D1D">
        <w:t>Elkhafaifi</w:t>
      </w:r>
      <w:proofErr w:type="spellEnd"/>
      <w:r w:rsidRPr="001A7D1D">
        <w:t>, 2005</w:t>
      </w:r>
      <w:r w:rsidRPr="001A7D1D">
        <w:t xml:space="preserve">). </w:t>
      </w:r>
      <w:r w:rsidRPr="001A7D1D">
        <w:t>Furthermore, key vocabulary and comprehension-question previews have been found to affect students' listening performance (Yüksel &amp; Yılmaz, 2019). Thus, these findings suggest that preparation before listening can provide both linguistic and cognitive support.</w:t>
      </w:r>
    </w:p>
    <w:p w14:paraId="39A7B867" w14:textId="0FAF329C" w:rsidR="00E07EA0" w:rsidRPr="001A7D1D" w:rsidRDefault="00E07EA0" w:rsidP="001A7D1D">
      <w:pPr>
        <w:tabs>
          <w:tab w:val="left" w:pos="720"/>
        </w:tabs>
        <w:spacing w:line="480" w:lineRule="auto"/>
        <w:ind w:firstLine="720"/>
        <w:jc w:val="both"/>
      </w:pPr>
      <w:r w:rsidRPr="001A7D1D">
        <w:t>With the emergence of generative AI, particularly ChatGPT, new possibilities have opened up to provide such preparation. ChatGPT can create explanations, contextual information, summaries, and questions based on materials. However, as studies on ChatGPT have expanded, the focus of these studies seems to be on writing and other language-learning areas rather than listening (Lo et al., 2024). More importantly, the number of studies on the application of ChatGPT as a structured pre-listening tool and its potential impact on learners’ cognitive load during L2 listening is limited.</w:t>
      </w:r>
    </w:p>
    <w:p w14:paraId="47A3F4BA" w14:textId="57A882BB" w:rsidR="00E07EA0" w:rsidRPr="001A7D1D" w:rsidRDefault="00E07EA0" w:rsidP="001A7D1D">
      <w:pPr>
        <w:tabs>
          <w:tab w:val="left" w:pos="720"/>
        </w:tabs>
        <w:spacing w:line="480" w:lineRule="auto"/>
        <w:ind w:firstLine="720"/>
        <w:jc w:val="both"/>
      </w:pPr>
      <w:r w:rsidRPr="001A7D1D">
        <w:t xml:space="preserve">This issue is particularly relevant to non-English-major university students, who study English as a </w:t>
      </w:r>
      <w:r w:rsidR="008913E9" w:rsidRPr="001A7D1D">
        <w:t xml:space="preserve">supporting </w:t>
      </w:r>
      <w:r w:rsidRPr="001A7D1D">
        <w:t>subject rather than as their main field of study. The present study therefore investigates the effects of ChatGPT-assisted pre-listening activities on listening comprehension and perceived cognitive load among non-English-major students at Saigon University. Over an eight-week intervention, the participants engaged in vocabulary explanations, content summaries, and prediction questions before listening tasks. Semi-structured interviews were also conducted to explore participants’ experiences, particularly their listening strategies, confidence, and anxiety.</w:t>
      </w:r>
    </w:p>
    <w:p w14:paraId="0A5205AD" w14:textId="64F7FF65" w:rsidR="003327F5" w:rsidRPr="001A7D1D" w:rsidRDefault="003327F5" w:rsidP="001A7D1D">
      <w:pPr>
        <w:tabs>
          <w:tab w:val="left" w:pos="720"/>
        </w:tabs>
        <w:spacing w:line="480" w:lineRule="auto"/>
        <w:ind w:firstLine="720"/>
        <w:jc w:val="both"/>
      </w:pPr>
      <w:r w:rsidRPr="001A7D1D">
        <w:t xml:space="preserve">Based on the gaps identified above, the present study was guided by the following </w:t>
      </w:r>
      <w:r w:rsidRPr="001A7D1D">
        <w:t>three</w:t>
      </w:r>
      <w:r w:rsidRPr="001A7D1D">
        <w:t xml:space="preserve"> research questions:</w:t>
      </w:r>
    </w:p>
    <w:p w14:paraId="62CC5CEA" w14:textId="78F92D76" w:rsidR="008913E9" w:rsidRPr="001A7D1D" w:rsidRDefault="008913E9" w:rsidP="001A7D1D">
      <w:pPr>
        <w:tabs>
          <w:tab w:val="left" w:pos="720"/>
        </w:tabs>
        <w:spacing w:line="480" w:lineRule="auto"/>
        <w:jc w:val="both"/>
      </w:pPr>
      <w:r w:rsidRPr="001A7D1D">
        <w:t>1. What effects do ChatGPT-assisted pre-listening activities have on non-English-major students’ L2 listening comprehension?</w:t>
      </w:r>
    </w:p>
    <w:p w14:paraId="55156828" w14:textId="5A2E17B1" w:rsidR="008913E9" w:rsidRPr="001A7D1D" w:rsidRDefault="008913E9" w:rsidP="001A7D1D">
      <w:pPr>
        <w:tabs>
          <w:tab w:val="left" w:pos="720"/>
        </w:tabs>
        <w:spacing w:line="480" w:lineRule="auto"/>
        <w:jc w:val="both"/>
      </w:pPr>
      <w:r w:rsidRPr="001A7D1D">
        <w:lastRenderedPageBreak/>
        <w:t xml:space="preserve">2. </w:t>
      </w:r>
      <w:r w:rsidR="008D1D4A" w:rsidRPr="008D1D4A">
        <w:t>What are non-English-major students’ perceptions of cognitive load during L2 listening following the ChatGPT-assisted pre-listening intervention?</w:t>
      </w:r>
    </w:p>
    <w:p w14:paraId="2CF4A804" w14:textId="7EC1C9A4" w:rsidR="00E07EA0" w:rsidRPr="001A7D1D" w:rsidRDefault="008913E9" w:rsidP="001A7D1D">
      <w:pPr>
        <w:tabs>
          <w:tab w:val="left" w:pos="720"/>
        </w:tabs>
        <w:spacing w:line="480" w:lineRule="auto"/>
        <w:jc w:val="both"/>
      </w:pPr>
      <w:r w:rsidRPr="001A7D1D">
        <w:t>3. How do non-English-major students perceive their experiences with ChatGPT-assisted pre-listening activities</w:t>
      </w:r>
      <w:r w:rsidRPr="001A7D1D">
        <w:t>?</w:t>
      </w:r>
    </w:p>
    <w:p w14:paraId="237B47CA" w14:textId="77777777" w:rsidR="00D54BAD" w:rsidRPr="001A7D1D" w:rsidRDefault="00D54BAD" w:rsidP="001A7D1D">
      <w:pPr>
        <w:tabs>
          <w:tab w:val="left" w:pos="720"/>
        </w:tabs>
        <w:spacing w:line="480" w:lineRule="auto"/>
        <w:jc w:val="center"/>
        <w:rPr>
          <w:b/>
          <w:bCs/>
        </w:rPr>
      </w:pPr>
      <w:r w:rsidRPr="001A7D1D">
        <w:rPr>
          <w:b/>
          <w:bCs/>
        </w:rPr>
        <w:t>2. Literature Review</w:t>
      </w:r>
    </w:p>
    <w:p w14:paraId="4B6360E3" w14:textId="453C94DB" w:rsidR="00D54BAD" w:rsidRPr="001A7D1D" w:rsidRDefault="00D54BAD" w:rsidP="001A7D1D">
      <w:pPr>
        <w:tabs>
          <w:tab w:val="left" w:pos="720"/>
        </w:tabs>
        <w:spacing w:line="480" w:lineRule="auto"/>
        <w:jc w:val="both"/>
        <w:rPr>
          <w:b/>
          <w:bCs/>
        </w:rPr>
      </w:pPr>
      <w:r w:rsidRPr="001A7D1D">
        <w:rPr>
          <w:b/>
          <w:bCs/>
        </w:rPr>
        <w:t xml:space="preserve">2.1. </w:t>
      </w:r>
      <w:r w:rsidR="00E8570D" w:rsidRPr="001A7D1D">
        <w:rPr>
          <w:b/>
          <w:bCs/>
        </w:rPr>
        <w:t xml:space="preserve">ChatGPT in English </w:t>
      </w:r>
      <w:r w:rsidR="00782768" w:rsidRPr="001A7D1D">
        <w:rPr>
          <w:b/>
          <w:bCs/>
        </w:rPr>
        <w:t>language learning</w:t>
      </w:r>
    </w:p>
    <w:p w14:paraId="09E985E8" w14:textId="78D8BD59" w:rsidR="009022A8" w:rsidRPr="001A7D1D" w:rsidRDefault="001A7D1D" w:rsidP="001A7D1D">
      <w:pPr>
        <w:tabs>
          <w:tab w:val="left" w:pos="720"/>
        </w:tabs>
        <w:spacing w:line="480" w:lineRule="auto"/>
        <w:jc w:val="both"/>
        <w:rPr>
          <w:b/>
          <w:bCs/>
        </w:rPr>
      </w:pPr>
      <w:r w:rsidRPr="001A7D1D">
        <w:tab/>
      </w:r>
      <w:r w:rsidR="009022A8" w:rsidRPr="001A7D1D">
        <w:t xml:space="preserve">The use of generative </w:t>
      </w:r>
      <w:r w:rsidR="00D54BAD" w:rsidRPr="001A7D1D">
        <w:t>A</w:t>
      </w:r>
      <w:r w:rsidR="009022A8" w:rsidRPr="001A7D1D">
        <w:t xml:space="preserve">rtificial </w:t>
      </w:r>
      <w:r w:rsidR="00D54BAD" w:rsidRPr="001A7D1D">
        <w:t>I</w:t>
      </w:r>
      <w:r w:rsidR="009022A8" w:rsidRPr="001A7D1D">
        <w:t xml:space="preserve">ntelligence (AI) has drawn broad attention, especially following the appearance of ChatGPT. Although the application of conversational AI in language education predated ChatGPT, earlier studies on chatbots and dialogue-based computer-assisted language learning had already demonstrated the potential of conversational technologies to support language practice and learner interaction (Fryer et al., 2019; </w:t>
      </w:r>
      <w:proofErr w:type="spellStart"/>
      <w:r w:rsidR="009022A8" w:rsidRPr="001A7D1D">
        <w:t>Bibauw</w:t>
      </w:r>
      <w:proofErr w:type="spellEnd"/>
      <w:r w:rsidR="009022A8" w:rsidRPr="001A7D1D">
        <w:t xml:space="preserve"> et al., 2019). Recent research has shown that ChatGPT has expanded these possibilities by providing learners with accessible and personalized support during the language learning process. In particular, multiple studies have highlighted its potential in developing vocabulary, reading comprehension, learner engagement, feedback, and individualized learning (Huang et al., 2022; Balcı, 2024; Lo et al., 2024; Yang &amp; Li, 2024). Although there is an increasing number of studies, applications have not been evenly investigated across language skills. Recent research has focused considerably on writing and other skills, whereas listening has received </w:t>
      </w:r>
      <w:r w:rsidR="00D54BAD" w:rsidRPr="001A7D1D">
        <w:t>little</w:t>
      </w:r>
      <w:r w:rsidR="009022A8" w:rsidRPr="001A7D1D">
        <w:t xml:space="preserve"> attention (Lo et al., 2024; Yang &amp; Li, 2024). While researchers have recently begun investigating the use of ChatGPT for L2 listening, the evidence remains limited regarding its integration into structured pre-listening activities. Therefore, further studies are needed on integrating ChatGPT to prepare learners before listening and support subsequent listening comprehension.</w:t>
      </w:r>
    </w:p>
    <w:p w14:paraId="1F9CD6C8" w14:textId="2BF80B9E" w:rsidR="009022A8" w:rsidRPr="001A7D1D" w:rsidRDefault="00D54BAD" w:rsidP="001A7D1D">
      <w:pPr>
        <w:tabs>
          <w:tab w:val="left" w:pos="720"/>
        </w:tabs>
        <w:jc w:val="both"/>
        <w:rPr>
          <w:b/>
          <w:bCs/>
        </w:rPr>
      </w:pPr>
      <w:r w:rsidRPr="001A7D1D">
        <w:rPr>
          <w:b/>
          <w:bCs/>
        </w:rPr>
        <w:t xml:space="preserve">2.2. </w:t>
      </w:r>
      <w:r w:rsidR="00782768" w:rsidRPr="001A7D1D">
        <w:rPr>
          <w:b/>
          <w:bCs/>
        </w:rPr>
        <w:t>Pre-listening activities and l2 listening comprehension</w:t>
      </w:r>
    </w:p>
    <w:p w14:paraId="7BC00727" w14:textId="77777777" w:rsidR="00A02278" w:rsidRPr="001A7D1D" w:rsidRDefault="00A02278" w:rsidP="001A7D1D">
      <w:pPr>
        <w:tabs>
          <w:tab w:val="left" w:pos="720"/>
        </w:tabs>
        <w:spacing w:line="480" w:lineRule="auto"/>
        <w:ind w:firstLine="720"/>
        <w:jc w:val="both"/>
      </w:pPr>
      <w:r w:rsidRPr="001A7D1D">
        <w:lastRenderedPageBreak/>
        <w:t>Pre-listening activities have been recognized as an important part of L2 listening because they prepare learners for listening tasks. These activities can activate relevant background information, introduce important vocabulary, familiarize students with the listening context, and encourage them to predict the upcoming input (Field, 2008; Vandergrift, 2003; Vandergrift &amp; Goh, 2012). Such preparation can help learners form content expectations and direct their attention to relevant information during the listening process.</w:t>
      </w:r>
    </w:p>
    <w:p w14:paraId="10DF70B6" w14:textId="36733047" w:rsidR="00A02278" w:rsidRPr="001A7D1D" w:rsidRDefault="00A02278" w:rsidP="001A7D1D">
      <w:pPr>
        <w:tabs>
          <w:tab w:val="left" w:pos="720"/>
        </w:tabs>
        <w:spacing w:line="480" w:lineRule="auto"/>
        <w:ind w:firstLine="720"/>
        <w:jc w:val="both"/>
      </w:pPr>
      <w:r w:rsidRPr="001A7D1D">
        <w:t xml:space="preserve">Research has highlighted the potential of vocabulary preparation and prediction activities. Vocabulary preparation can support listening comprehension by familiarizing learners with important lexical items before they encounter the spoken input. For example, Chang (2007) found that vocabulary preparation could improve aspects of L2 listening comprehension, confidence, and strategy use. Similarly, research on strategy-based listening instruction has emphasized the value of guiding learners to anticipate and focus on relevant information during listening (Vandergrift &amp; </w:t>
      </w:r>
      <w:proofErr w:type="spellStart"/>
      <w:r w:rsidRPr="001A7D1D">
        <w:t>Tafaghodtari</w:t>
      </w:r>
      <w:proofErr w:type="spellEnd"/>
      <w:r w:rsidRPr="001A7D1D">
        <w:t xml:space="preserve">, 2010). Other research has also suggested that pre-listening activities involving vocabulary preparation and questions can facilitate listening comprehension (Madani &amp; </w:t>
      </w:r>
      <w:proofErr w:type="spellStart"/>
      <w:r w:rsidRPr="001A7D1D">
        <w:t>Kheirzadeh</w:t>
      </w:r>
      <w:proofErr w:type="spellEnd"/>
      <w:r w:rsidRPr="001A7D1D">
        <w:t>, 2022). Taken together, these studies suggest that pre-listening activities can linguistically and cognitively prepare students for listening tasks by providing relevant knowledge, vocabulary, and attentional direction.</w:t>
      </w:r>
    </w:p>
    <w:p w14:paraId="2CB0A394" w14:textId="2BC2207B" w:rsidR="004846B0" w:rsidRPr="001A7D1D" w:rsidRDefault="00A02278" w:rsidP="001A7D1D">
      <w:pPr>
        <w:tabs>
          <w:tab w:val="left" w:pos="720"/>
        </w:tabs>
        <w:spacing w:line="480" w:lineRule="auto"/>
        <w:ind w:firstLine="720"/>
        <w:jc w:val="both"/>
      </w:pPr>
      <w:r w:rsidRPr="001A7D1D">
        <w:t>However, previous research has mainly examined conventional forms of pre-listening preparation, while less attention has been paid to how generative AI can be integrated into a structured sequence of pre-listening activities. In particular, the use of ChatGPT to provide vocabulary explanations, content summaries, and prediction questions remains relatively underexplored. This gap provides a basis for examining the potential of ChatGPT-assisted pre-listening activities in the present study.</w:t>
      </w:r>
      <w:r w:rsidR="00540CB5" w:rsidRPr="001A7D1D">
        <w:t xml:space="preserve"> </w:t>
      </w:r>
    </w:p>
    <w:p w14:paraId="4A634E4A" w14:textId="3BBAE817" w:rsidR="00AF7F82" w:rsidRPr="001A7D1D" w:rsidRDefault="00782768" w:rsidP="001A7D1D">
      <w:pPr>
        <w:tabs>
          <w:tab w:val="left" w:pos="720"/>
        </w:tabs>
        <w:spacing w:line="480" w:lineRule="auto"/>
        <w:jc w:val="both"/>
        <w:rPr>
          <w:b/>
          <w:bCs/>
        </w:rPr>
      </w:pPr>
      <w:r w:rsidRPr="001A7D1D">
        <w:rPr>
          <w:b/>
          <w:bCs/>
        </w:rPr>
        <w:lastRenderedPageBreak/>
        <w:t xml:space="preserve">2.3. </w:t>
      </w:r>
      <w:r w:rsidR="00540CB5" w:rsidRPr="001A7D1D">
        <w:rPr>
          <w:b/>
          <w:bCs/>
        </w:rPr>
        <w:t>Cognitive Load Theory and L2 Listening</w:t>
      </w:r>
    </w:p>
    <w:p w14:paraId="7D75BFEA" w14:textId="7AA86A85" w:rsidR="00867C0F" w:rsidRPr="001A7D1D" w:rsidRDefault="00867C0F" w:rsidP="001A7D1D">
      <w:pPr>
        <w:tabs>
          <w:tab w:val="left" w:pos="720"/>
        </w:tabs>
        <w:spacing w:line="480" w:lineRule="auto"/>
        <w:ind w:firstLine="720"/>
        <w:jc w:val="both"/>
      </w:pPr>
      <w:r w:rsidRPr="001A7D1D">
        <w:t>Cognitive Load Theory (CLT) provides a theoretical framework to understand cognitive demands in the learning process and information processing. This theory works on the assumption that working memory has limited processing capacity, and students’ learning can be affected by excessive cognitive demands (</w:t>
      </w:r>
      <w:proofErr w:type="spellStart"/>
      <w:r w:rsidRPr="001A7D1D">
        <w:t>Sweller</w:t>
      </w:r>
      <w:proofErr w:type="spellEnd"/>
      <w:r w:rsidRPr="001A7D1D">
        <w:t>, 1988). From this assumption, cognitive load is discussed in terms of intrinsic, extraneous, and germane load.</w:t>
      </w:r>
      <w:r w:rsidR="006078C7" w:rsidRPr="001A7D1D">
        <w:t xml:space="preserve"> </w:t>
      </w:r>
      <w:r w:rsidR="006078C7" w:rsidRPr="001A7D1D">
        <w:t>Intrinsic load refers to the inherent complexity of the learning task. Extraneous load refers to the way information and learning tasks are presented. Germane load refers to the cognitive resources devoted to processing, organizing, and integrating information into learning</w:t>
      </w:r>
      <w:r w:rsidRPr="001A7D1D">
        <w:t>. Plass et al. (2010) further emphasized that these types of cognitive load are important for understanding how instructional conditions influence learners’ use of limited working-memory resources.</w:t>
      </w:r>
    </w:p>
    <w:p w14:paraId="29506321" w14:textId="77777777" w:rsidR="00867C0F" w:rsidRPr="001A7D1D" w:rsidRDefault="00867C0F" w:rsidP="001A7D1D">
      <w:pPr>
        <w:tabs>
          <w:tab w:val="left" w:pos="720"/>
        </w:tabs>
        <w:spacing w:line="480" w:lineRule="auto"/>
        <w:ind w:firstLine="720"/>
        <w:jc w:val="both"/>
      </w:pPr>
      <w:r w:rsidRPr="001A7D1D">
        <w:t xml:space="preserve">These dimensions are related to L2 listening because listening requires learners to process transient spoken input in real time while simultaneously decoding linguistic information, integrating meaning, and using contextual knowledge. The demands can be challenging when students face unfamiliar vocabulary, complex content, or insufficient contextual support. Research that applies CLT to L2 listening suggests that learners’ comprehension can be facilitated when unnecessary processing demands are reduced and appropriate support is provided before or during listening. To illustrate, Roussel et al. (2022) found that providing learners with content in their first language before listening to the same content in a second language improved both content and language learning. This reveals the importance of managing cognitive demands during L2 listening. More broadly, Paas et al. (2003) highlighted that instructional conditions can influence how learners allocate their limited cognitive resources and can support learning by promoting productive cognitive processing. Therefore, pre-listening activities can serve cognitive functions. </w:t>
      </w:r>
      <w:r w:rsidRPr="001A7D1D">
        <w:lastRenderedPageBreak/>
        <w:t>Vocabulary explanations and content summaries can provide learners with linguistic and contextual support, reducing unnecessary processing demands. In contrast, prediction questions can direct learners’ attention toward relevant information and encourage active processing of the listening content.</w:t>
      </w:r>
    </w:p>
    <w:p w14:paraId="5A19E17E" w14:textId="195FE3CC" w:rsidR="00EA104D" w:rsidRPr="001A7D1D" w:rsidRDefault="00A42234" w:rsidP="001A7D1D">
      <w:pPr>
        <w:tabs>
          <w:tab w:val="left" w:pos="720"/>
        </w:tabs>
        <w:spacing w:line="480" w:lineRule="auto"/>
        <w:jc w:val="both"/>
        <w:rPr>
          <w:b/>
          <w:bCs/>
        </w:rPr>
      </w:pPr>
      <w:r w:rsidRPr="001A7D1D">
        <w:rPr>
          <w:b/>
          <w:bCs/>
        </w:rPr>
        <w:t xml:space="preserve">2.4. </w:t>
      </w:r>
      <w:r w:rsidR="00EA104D" w:rsidRPr="001A7D1D">
        <w:rPr>
          <w:b/>
          <w:bCs/>
        </w:rPr>
        <w:t xml:space="preserve">Research </w:t>
      </w:r>
      <w:r w:rsidR="00EA104D" w:rsidRPr="001A7D1D">
        <w:rPr>
          <w:b/>
          <w:bCs/>
        </w:rPr>
        <w:t>g</w:t>
      </w:r>
      <w:r w:rsidR="00EA104D" w:rsidRPr="001A7D1D">
        <w:rPr>
          <w:b/>
          <w:bCs/>
        </w:rPr>
        <w:t>ap</w:t>
      </w:r>
    </w:p>
    <w:p w14:paraId="57835999" w14:textId="05301AE1" w:rsidR="00EA104D" w:rsidRPr="001A7D1D" w:rsidRDefault="0099670C" w:rsidP="001A7D1D">
      <w:pPr>
        <w:tabs>
          <w:tab w:val="left" w:pos="720"/>
        </w:tabs>
        <w:spacing w:line="480" w:lineRule="auto"/>
        <w:ind w:firstLine="720"/>
        <w:jc w:val="both"/>
        <w:rPr>
          <w:b/>
          <w:bCs/>
        </w:rPr>
      </w:pPr>
      <w:r w:rsidRPr="001A7D1D">
        <w:t>Although previous studies have shown the potential of ChatGPT for language learning and the value of pre-listening activities in L2 listening, several research gaps remain. First, existing literature focuses more extensively on writing, speaking, and vocabulary, whereas the application of ChatGPT in listening instruction</w:t>
      </w:r>
      <w:r w:rsidR="006078C7" w:rsidRPr="001A7D1D">
        <w:t xml:space="preserve">, </w:t>
      </w:r>
      <w:r w:rsidRPr="001A7D1D">
        <w:t>particularly in pre-listening activities</w:t>
      </w:r>
      <w:r w:rsidR="006078C7" w:rsidRPr="001A7D1D">
        <w:t xml:space="preserve">, </w:t>
      </w:r>
      <w:r w:rsidRPr="001A7D1D">
        <w:t>remains less explored. In addition, there are limitations in current knowledge regarding how generative AI can be integrated into structured pre-listening activities and how such support may affect learners’ cognitive load during L2 listening. In particular, the potential relationships between ChatGPT-assisted pre-listening activities and the three dimensions of cognitive load</w:t>
      </w:r>
      <w:r w:rsidR="00882A0C" w:rsidRPr="001A7D1D">
        <w:t xml:space="preserve">, </w:t>
      </w:r>
      <w:r w:rsidRPr="001A7D1D">
        <w:t>intrinsic, extraneous, and germane</w:t>
      </w:r>
      <w:r w:rsidR="00882A0C" w:rsidRPr="001A7D1D">
        <w:t xml:space="preserve">, </w:t>
      </w:r>
      <w:r w:rsidRPr="001A7D1D">
        <w:t>remain insufficiently understood. Therefore, this study addresses these gaps by examining the effects of ChatGPT-assisted pre-listening activities on listening comprehension and learners’ perceptions of cognitive load. Furthermore, qualitative findings provide insight into learners' listening strategies, confidence, and listening anxiety.</w:t>
      </w:r>
    </w:p>
    <w:p w14:paraId="6ABD2582" w14:textId="64ED037E" w:rsidR="00540CB5" w:rsidRPr="001A7D1D" w:rsidRDefault="00540CB5" w:rsidP="001A7D1D">
      <w:pPr>
        <w:pStyle w:val="ListParagraph"/>
        <w:numPr>
          <w:ilvl w:val="0"/>
          <w:numId w:val="4"/>
        </w:numPr>
        <w:tabs>
          <w:tab w:val="left" w:pos="720"/>
        </w:tabs>
        <w:jc w:val="center"/>
        <w:rPr>
          <w:b/>
          <w:bCs/>
        </w:rPr>
      </w:pPr>
      <w:r w:rsidRPr="001A7D1D">
        <w:rPr>
          <w:b/>
          <w:bCs/>
        </w:rPr>
        <w:t>Methodology</w:t>
      </w:r>
    </w:p>
    <w:p w14:paraId="78FF7797" w14:textId="52EFFE4B" w:rsidR="00AF366B" w:rsidRPr="001A7D1D" w:rsidRDefault="00A42234" w:rsidP="001A7D1D">
      <w:pPr>
        <w:pStyle w:val="ListParagraph"/>
        <w:numPr>
          <w:ilvl w:val="1"/>
          <w:numId w:val="4"/>
        </w:numPr>
        <w:tabs>
          <w:tab w:val="left" w:pos="360"/>
        </w:tabs>
        <w:spacing w:line="480" w:lineRule="auto"/>
        <w:ind w:hanging="720"/>
        <w:jc w:val="both"/>
        <w:rPr>
          <w:b/>
          <w:bCs/>
        </w:rPr>
      </w:pPr>
      <w:r w:rsidRPr="001A7D1D">
        <w:rPr>
          <w:b/>
          <w:bCs/>
        </w:rPr>
        <w:t xml:space="preserve"> </w:t>
      </w:r>
      <w:r w:rsidR="00AF366B" w:rsidRPr="001A7D1D">
        <w:rPr>
          <w:b/>
          <w:bCs/>
        </w:rPr>
        <w:t>Research participants</w:t>
      </w:r>
    </w:p>
    <w:p w14:paraId="4A5D5C9F" w14:textId="578BC45E" w:rsidR="00AF366B" w:rsidRPr="001A7D1D" w:rsidRDefault="00954693" w:rsidP="001A7D1D">
      <w:pPr>
        <w:tabs>
          <w:tab w:val="left" w:pos="720"/>
        </w:tabs>
        <w:spacing w:line="480" w:lineRule="auto"/>
        <w:jc w:val="both"/>
      </w:pPr>
      <w:r w:rsidRPr="001A7D1D">
        <w:tab/>
      </w:r>
      <w:r w:rsidR="007D2FFB" w:rsidRPr="001A7D1D">
        <w:t xml:space="preserve">There were 43 non-English-major students from </w:t>
      </w:r>
      <w:r w:rsidR="003579D9" w:rsidRPr="001A7D1D">
        <w:t>different</w:t>
      </w:r>
      <w:r w:rsidR="007D2FFB" w:rsidRPr="001A7D1D">
        <w:t xml:space="preserve"> academic disciplines at SGU participat</w:t>
      </w:r>
      <w:r w:rsidR="00A42234" w:rsidRPr="001A7D1D">
        <w:t>ing</w:t>
      </w:r>
      <w:r w:rsidR="007D2FFB" w:rsidRPr="001A7D1D">
        <w:t xml:space="preserve"> in the study. However, five of them were excluded from the final analysis because they did not complete both the pre-test and post-test. </w:t>
      </w:r>
      <w:r w:rsidR="00A42234" w:rsidRPr="001A7D1D">
        <w:t>The participants were enrolled in English 1 at the A2 level of the Common European Framework of Reference for Languages (CEFR), as their English proficiency was assessed prior to the course.</w:t>
      </w:r>
      <w:r w:rsidR="00A42234" w:rsidRPr="001A7D1D">
        <w:t xml:space="preserve"> </w:t>
      </w:r>
      <w:r w:rsidR="007D2FFB" w:rsidRPr="001A7D1D">
        <w:t>The participants took part in the ChatGPT-</w:t>
      </w:r>
      <w:r w:rsidR="007D2FFB" w:rsidRPr="001A7D1D">
        <w:lastRenderedPageBreak/>
        <w:t xml:space="preserve">assisted pre-listening intervention, which lasted for eight weeks. </w:t>
      </w:r>
      <w:r w:rsidR="00A42234" w:rsidRPr="001A7D1D">
        <w:t>The p</w:t>
      </w:r>
      <w:r w:rsidR="007D2FFB" w:rsidRPr="001A7D1D">
        <w:t>articipation was voluntary, and informed consent was obtained before data collection.</w:t>
      </w:r>
    </w:p>
    <w:p w14:paraId="48DE2164" w14:textId="459BCD24" w:rsidR="007D2FFB" w:rsidRPr="001A7D1D" w:rsidRDefault="00A42234" w:rsidP="001A7D1D">
      <w:pPr>
        <w:pStyle w:val="ListParagraph"/>
        <w:numPr>
          <w:ilvl w:val="1"/>
          <w:numId w:val="4"/>
        </w:numPr>
        <w:tabs>
          <w:tab w:val="left" w:pos="360"/>
        </w:tabs>
        <w:spacing w:line="480" w:lineRule="auto"/>
        <w:ind w:hanging="720"/>
        <w:jc w:val="both"/>
        <w:rPr>
          <w:b/>
          <w:bCs/>
        </w:rPr>
      </w:pPr>
      <w:r w:rsidRPr="001A7D1D">
        <w:rPr>
          <w:b/>
          <w:bCs/>
        </w:rPr>
        <w:t xml:space="preserve"> </w:t>
      </w:r>
      <w:r w:rsidR="007D2FFB" w:rsidRPr="001A7D1D">
        <w:rPr>
          <w:b/>
          <w:bCs/>
        </w:rPr>
        <w:t>Research instrument</w:t>
      </w:r>
      <w:r w:rsidR="003579D9" w:rsidRPr="001A7D1D">
        <w:rPr>
          <w:b/>
          <w:bCs/>
        </w:rPr>
        <w:t>s</w:t>
      </w:r>
      <w:r w:rsidR="007D2FFB" w:rsidRPr="001A7D1D">
        <w:rPr>
          <w:b/>
          <w:bCs/>
        </w:rPr>
        <w:t xml:space="preserve"> </w:t>
      </w:r>
    </w:p>
    <w:p w14:paraId="1F735EBA" w14:textId="27F928DC" w:rsidR="007D2FFB" w:rsidRPr="001A7D1D" w:rsidRDefault="00954693" w:rsidP="001A7D1D">
      <w:pPr>
        <w:tabs>
          <w:tab w:val="left" w:pos="720"/>
        </w:tabs>
        <w:spacing w:line="480" w:lineRule="auto"/>
        <w:jc w:val="both"/>
      </w:pPr>
      <w:r w:rsidRPr="001A7D1D">
        <w:tab/>
      </w:r>
      <w:r w:rsidR="003579D9" w:rsidRPr="001A7D1D">
        <w:t xml:space="preserve">The research was conducted using three instruments: a listening comprehension test, a cognitive load questionnaire, and a semi-structured interview. </w:t>
      </w:r>
    </w:p>
    <w:p w14:paraId="4F0C82B3" w14:textId="2348425D" w:rsidR="00BB40BE" w:rsidRPr="001A7D1D" w:rsidRDefault="0007259D" w:rsidP="001A7D1D">
      <w:pPr>
        <w:tabs>
          <w:tab w:val="left" w:pos="720"/>
        </w:tabs>
        <w:spacing w:line="480" w:lineRule="auto"/>
        <w:jc w:val="both"/>
      </w:pPr>
      <w:r w:rsidRPr="001A7D1D">
        <w:rPr>
          <w:b/>
          <w:bCs/>
        </w:rPr>
        <w:tab/>
      </w:r>
      <w:r w:rsidR="00BB40BE" w:rsidRPr="001A7D1D">
        <w:rPr>
          <w:b/>
          <w:bCs/>
        </w:rPr>
        <w:t>T</w:t>
      </w:r>
      <w:r w:rsidR="00BB40BE" w:rsidRPr="001A7D1D">
        <w:rPr>
          <w:b/>
          <w:bCs/>
        </w:rPr>
        <w:t>he listening comprehension test</w:t>
      </w:r>
      <w:r w:rsidR="00BB40BE" w:rsidRPr="001A7D1D">
        <w:t xml:space="preserve"> was used to measure changes in the participants’ listening performance before and after the intervention. It consisted of a pre-test and a post-test, both adapted from Listening Test 1 (Paper 2: Listening) of Cambridge English Key 7 (Cambridge English Language Assessment, 2014). The same test was administered as both the pre-test and post-test to measure changes in listening performance following the intervention, consistent with the one-group pre-test–post-test design (Creswell &amp; Creswell, 2018). No modifications were made to the test because it was designed in accordance with CEFR and was appropriate for the participants’ proficiency level. The test lasted 30 minutes, including an 8-minute transfer time, and consisted of five parts, yielding a maximum score of 25 points: Part 1 (5 items) consisted of five short conversations with multiple-choice questions; Part 2 (5 items) consisted of five longer conversations with matching tasks based on details; Part 3 (5 items) consisted of informal conversations with multiple-choice questions; Part 4 (5 items) consisted of a short monologue/dialogue requiring gap-filling; and Part 5 (5 items) consisted of a longer monologue/dialogue requiring gap-filling. The scoring data from both the pre-test and post-test were analyzed using IBM SPSS Statistics, Version 20.</w:t>
      </w:r>
    </w:p>
    <w:p w14:paraId="4F4C02E9" w14:textId="2626B05F" w:rsidR="00BB40BE" w:rsidRPr="001A7D1D" w:rsidRDefault="0007259D" w:rsidP="001A7D1D">
      <w:pPr>
        <w:tabs>
          <w:tab w:val="left" w:pos="720"/>
        </w:tabs>
        <w:spacing w:line="480" w:lineRule="auto"/>
        <w:jc w:val="both"/>
      </w:pPr>
      <w:r w:rsidRPr="001A7D1D">
        <w:rPr>
          <w:b/>
          <w:bCs/>
        </w:rPr>
        <w:tab/>
      </w:r>
      <w:r w:rsidR="00641559" w:rsidRPr="001A7D1D">
        <w:rPr>
          <w:b/>
          <w:bCs/>
        </w:rPr>
        <w:t xml:space="preserve">The Cognitive Load Questionnaire </w:t>
      </w:r>
      <w:r w:rsidR="00641559" w:rsidRPr="001A7D1D">
        <w:t>was used to examine the participants’ perceptions of cognitive load after the intervention. In addition to a section collecting demographic and background information, the main section comprised three parts with a total of 17 items</w:t>
      </w:r>
      <w:r w:rsidR="00BB40BE" w:rsidRPr="001A7D1D">
        <w:t xml:space="preserve">. All items </w:t>
      </w:r>
      <w:r w:rsidR="00BB40BE" w:rsidRPr="001A7D1D">
        <w:lastRenderedPageBreak/>
        <w:t xml:space="preserve">were rated on a 5-point Likert scale ranging from 1 (strongly disagree) to 5 (strongly agree). The questionnaire was developed based on Cognitive Load Theory proposed by </w:t>
      </w:r>
      <w:proofErr w:type="spellStart"/>
      <w:r w:rsidR="00BB40BE" w:rsidRPr="001A7D1D">
        <w:t>Sweller</w:t>
      </w:r>
      <w:proofErr w:type="spellEnd"/>
      <w:r w:rsidR="00BB40BE" w:rsidRPr="001A7D1D">
        <w:t xml:space="preserve"> (1988) and comprised three dimensions: Part 1, intrinsic cognitive load (5 items), measured participants’ perceptions of the difficulty of the listening tasks in relation to their language level; Part 2, extraneous cognitive load (6 items), assessed participants’ perceptions of the cognitive demands associated with the presentation of the tasks and their interaction with ChatGPT; and Part 3, germane cognitive load (6 items), assessed participants’ perceived cognitive engagement in processing the learning materials, including learning new vocabulary and understanding the content. The questionnaire was administered in Vietnamese to ensure that the </w:t>
      </w:r>
      <w:r w:rsidR="00641559" w:rsidRPr="001A7D1D">
        <w:t>participants</w:t>
      </w:r>
      <w:r w:rsidR="00BB40BE" w:rsidRPr="001A7D1D">
        <w:t xml:space="preserve"> could fully understand the items given their English proficiency level. The questionnaire was reviewed by domain experts before administration to establish its content validity. A pilot test was conducted with 10 students from the participant cohort to assess the instrument’s internal consistency. This sample size corresponds with the recommended minimum of 10 participants for preliminary scale validation (Hill, 1998), and these participants were excluded from the main survey data to prevent potential response bias. The pilot test showed excellent internal consistency, with an overall Cronbach’s alpha of .975 across the 17 items (5 intrinsic cognitive load items, 6 extraneous cognitive load items, and 6 germane cognitive load items). Therefore, all 17 items were retained for the main survey, which was completed by the remaining 28 participants.</w:t>
      </w:r>
    </w:p>
    <w:p w14:paraId="3C27D2C0" w14:textId="3548E409" w:rsidR="00BB40BE" w:rsidRPr="001A7D1D" w:rsidRDefault="0007259D" w:rsidP="001A7D1D">
      <w:pPr>
        <w:tabs>
          <w:tab w:val="left" w:pos="720"/>
        </w:tabs>
        <w:spacing w:line="480" w:lineRule="auto"/>
        <w:jc w:val="both"/>
      </w:pPr>
      <w:r w:rsidRPr="001A7D1D">
        <w:rPr>
          <w:b/>
          <w:bCs/>
        </w:rPr>
        <w:tab/>
      </w:r>
      <w:r w:rsidR="00BB40BE" w:rsidRPr="001A7D1D">
        <w:rPr>
          <w:b/>
          <w:bCs/>
        </w:rPr>
        <w:t>A semi-structured interview</w:t>
      </w:r>
      <w:r w:rsidR="00BB40BE" w:rsidRPr="001A7D1D">
        <w:t xml:space="preserve"> was conducted to gain insights into the participants’ experiences and perceptions of the ChatGPT-assisted pre-listening activities and to provide further explanations for the quantitative findings. Ten participants were purposively selected from the 38 students in the final sample. A maximum variation sampling strategy was used to capture a range of experiences based on participants’ improvement in listening performance (Patton, 2015). </w:t>
      </w:r>
      <w:r w:rsidR="00BB40BE" w:rsidRPr="001A7D1D">
        <w:lastRenderedPageBreak/>
        <w:t>Accordingly, the participants represented three levels of improvement based on their gain scores between the pre-test and post-test: high (n = 3), moderate (n = 4), and low (n = 3). To protect participants’ identities, pseudonymous codes (I1–I10) were used throughout the transcription and reporting of the interview data.</w:t>
      </w:r>
      <w:r w:rsidR="00BB40BE" w:rsidRPr="001A7D1D">
        <w:t xml:space="preserve"> </w:t>
      </w:r>
      <w:r w:rsidR="00BB40BE" w:rsidRPr="001A7D1D">
        <w:t xml:space="preserve">The interview protocol consisted of four open-ended questions. The first question explored </w:t>
      </w:r>
      <w:proofErr w:type="gramStart"/>
      <w:r w:rsidR="00BB40BE" w:rsidRPr="001A7D1D">
        <w:t>participants’</w:t>
      </w:r>
      <w:proofErr w:type="gramEnd"/>
      <w:r w:rsidR="00BB40BE" w:rsidRPr="001A7D1D">
        <w:t xml:space="preserve"> perceived changes in their listening ability after eight weeks of using the ChatGPT-assisted pre-listening activities. The second question explored the usefulness of ChatGPT-assisted vocabulary explanations and content summaries. The third question examined whether the activities reduced confusion and difficulties during the listening tasks. The fourth question investigated whether the prediction questions helped participants focus on relevant information and develop listening strategies. Each interview lasted approximately 15–20 minutes and was conducted in Vietnamese to enable participants to express their experiences and perceptions clearly in a language appropriate to their English proficiency level. With their consent, the interviews were audio-recorded and transcribed for thematic analysis.</w:t>
      </w:r>
    </w:p>
    <w:p w14:paraId="41C15B01" w14:textId="1C8B2EDC" w:rsidR="00F142CD" w:rsidRPr="001A7D1D" w:rsidRDefault="00B91892" w:rsidP="001A7D1D">
      <w:pPr>
        <w:pStyle w:val="ListParagraph"/>
        <w:numPr>
          <w:ilvl w:val="1"/>
          <w:numId w:val="4"/>
        </w:numPr>
        <w:tabs>
          <w:tab w:val="left" w:pos="360"/>
        </w:tabs>
        <w:spacing w:line="480" w:lineRule="auto"/>
        <w:ind w:hanging="720"/>
        <w:jc w:val="both"/>
        <w:rPr>
          <w:b/>
          <w:bCs/>
        </w:rPr>
      </w:pPr>
      <w:r w:rsidRPr="001A7D1D">
        <w:rPr>
          <w:b/>
          <w:bCs/>
        </w:rPr>
        <w:t xml:space="preserve"> </w:t>
      </w:r>
      <w:r w:rsidR="00D017D0" w:rsidRPr="001A7D1D">
        <w:rPr>
          <w:b/>
          <w:bCs/>
        </w:rPr>
        <w:t xml:space="preserve">Research procedure </w:t>
      </w:r>
    </w:p>
    <w:p w14:paraId="5A264021" w14:textId="27326580" w:rsidR="00E20E6E" w:rsidRPr="001A7D1D" w:rsidRDefault="0007259D" w:rsidP="001A7D1D">
      <w:pPr>
        <w:tabs>
          <w:tab w:val="left" w:pos="720"/>
        </w:tabs>
        <w:spacing w:line="480" w:lineRule="auto"/>
        <w:jc w:val="both"/>
      </w:pPr>
      <w:r w:rsidRPr="001A7D1D">
        <w:tab/>
      </w:r>
      <w:r w:rsidR="00E20E6E" w:rsidRPr="001A7D1D">
        <w:t>The research was undertaken from 18 May, 2026, over an 8</w:t>
      </w:r>
      <w:r w:rsidR="007368AF">
        <w:t>-</w:t>
      </w:r>
      <w:r w:rsidR="00E20E6E" w:rsidRPr="001A7D1D">
        <w:t>week intervention period. The procedure include</w:t>
      </w:r>
      <w:r w:rsidR="007368AF">
        <w:t>d</w:t>
      </w:r>
      <w:r w:rsidR="00E20E6E" w:rsidRPr="001A7D1D">
        <w:t xml:space="preserve"> 4 main stages: pre-testing, the eight-week intervention, post-testing, and </w:t>
      </w:r>
      <w:r w:rsidR="00641559" w:rsidRPr="001A7D1D">
        <w:t xml:space="preserve">survey and </w:t>
      </w:r>
      <w:r w:rsidR="00E20E6E" w:rsidRPr="001A7D1D">
        <w:t xml:space="preserve">semi-structured interviews. </w:t>
      </w:r>
    </w:p>
    <w:p w14:paraId="679D82D6" w14:textId="0F81FE09" w:rsidR="00E20E6E" w:rsidRPr="001A7D1D" w:rsidRDefault="0007259D" w:rsidP="001A7D1D">
      <w:pPr>
        <w:tabs>
          <w:tab w:val="left" w:pos="720"/>
        </w:tabs>
        <w:spacing w:line="480" w:lineRule="auto"/>
        <w:jc w:val="both"/>
        <w:rPr>
          <w:b/>
          <w:bCs/>
        </w:rPr>
      </w:pPr>
      <w:r w:rsidRPr="001A7D1D">
        <w:rPr>
          <w:b/>
          <w:bCs/>
        </w:rPr>
        <w:tab/>
      </w:r>
      <w:r w:rsidR="000955E5" w:rsidRPr="001A7D1D">
        <w:rPr>
          <w:b/>
          <w:bCs/>
        </w:rPr>
        <w:t xml:space="preserve">Stage 1: </w:t>
      </w:r>
      <w:r w:rsidR="00E20E6E" w:rsidRPr="001A7D1D">
        <w:rPr>
          <w:b/>
          <w:bCs/>
        </w:rPr>
        <w:t xml:space="preserve">Pre-test. </w:t>
      </w:r>
      <w:r w:rsidR="00E20E6E" w:rsidRPr="001A7D1D">
        <w:t>All participants completed the pre-test to assess their baseline listening performance. The test was administered under standardized classroom conditions, and it last</w:t>
      </w:r>
      <w:r w:rsidR="00BB0F29">
        <w:t>ed</w:t>
      </w:r>
      <w:r w:rsidR="00E20E6E" w:rsidRPr="001A7D1D">
        <w:t xml:space="preserve"> 30 minutes.</w:t>
      </w:r>
    </w:p>
    <w:p w14:paraId="352C8BF7" w14:textId="7B372E7D" w:rsidR="002C7FBB" w:rsidRPr="001A7D1D" w:rsidRDefault="0007259D" w:rsidP="001A7D1D">
      <w:pPr>
        <w:tabs>
          <w:tab w:val="left" w:pos="720"/>
        </w:tabs>
        <w:spacing w:line="480" w:lineRule="auto"/>
        <w:jc w:val="both"/>
      </w:pPr>
      <w:r w:rsidRPr="001A7D1D">
        <w:rPr>
          <w:b/>
          <w:bCs/>
        </w:rPr>
        <w:tab/>
      </w:r>
      <w:r w:rsidR="002C7FBB" w:rsidRPr="001A7D1D">
        <w:rPr>
          <w:b/>
          <w:bCs/>
        </w:rPr>
        <w:t xml:space="preserve">Stage 2: Eight-week ChatGPT-assisted Pre-listening Intervention. </w:t>
      </w:r>
      <w:r w:rsidR="002C7FBB" w:rsidRPr="001A7D1D">
        <w:t xml:space="preserve">After the pre-test, the participants received an eight-week intervention that involved integrating ChatGPT-assisted pre-listening activities into their English lessons. Before each listening task, the researcher used </w:t>
      </w:r>
      <w:r w:rsidR="002C7FBB" w:rsidRPr="001A7D1D">
        <w:lastRenderedPageBreak/>
        <w:t>ChatGPT to prepare supplementary activities based on the content of the listening tasks. The activities comprised three components: vocabulary explanations, brief content summaries, and prediction questions.</w:t>
      </w:r>
    </w:p>
    <w:p w14:paraId="0902462B" w14:textId="0EFF652D" w:rsidR="002C7FBB" w:rsidRPr="001A7D1D" w:rsidRDefault="0007259D" w:rsidP="001A7D1D">
      <w:pPr>
        <w:tabs>
          <w:tab w:val="left" w:pos="720"/>
        </w:tabs>
        <w:spacing w:line="480" w:lineRule="auto"/>
        <w:jc w:val="both"/>
      </w:pPr>
      <w:r w:rsidRPr="001A7D1D">
        <w:tab/>
      </w:r>
      <w:r w:rsidR="002C7FBB" w:rsidRPr="001A7D1D">
        <w:t xml:space="preserve">For example, in Unit 10A (pp. 100–101), which focuses on a discussion about consumers’ choices between a smartphone and a tablet, from </w:t>
      </w:r>
      <w:r w:rsidR="002C7FBB" w:rsidRPr="001A7D1D">
        <w:rPr>
          <w:i/>
          <w:iCs/>
        </w:rPr>
        <w:t>Cambridge English Empower Elementary A2 Student’s Book</w:t>
      </w:r>
      <w:r w:rsidR="002C7FBB" w:rsidRPr="001A7D1D">
        <w:t xml:space="preserve"> (Doff et al.), the researcher prompted ChatGPT to provide explanations and examples for five vocabulary items related to the textbook listening task: “decide”, “</w:t>
      </w:r>
      <w:proofErr w:type="spellStart"/>
      <w:r w:rsidR="002C7FBB" w:rsidRPr="001A7D1D">
        <w:t>eatability</w:t>
      </w:r>
      <w:proofErr w:type="spellEnd"/>
      <w:r w:rsidR="002C7FBB" w:rsidRPr="001A7D1D">
        <w:t>”, “</w:t>
      </w:r>
      <w:proofErr w:type="spellStart"/>
      <w:r w:rsidR="002C7FBB" w:rsidRPr="001A7D1D">
        <w:t>pocketability</w:t>
      </w:r>
      <w:proofErr w:type="spellEnd"/>
      <w:r w:rsidR="002C7FBB" w:rsidRPr="001A7D1D">
        <w:t>”, “podcast”, and “tablet”. ChatGPT then generated a brief situational summary: “The listening passage discusses how people decide whether a smartphone or a tablet is more suitable for their needs. It introduces several factors that can influence this decision, including how easy the device is to carry and use while eating. The speaker highlights two unusual concepts, “</w:t>
      </w:r>
      <w:proofErr w:type="spellStart"/>
      <w:r w:rsidR="002C7FBB" w:rsidRPr="001A7D1D">
        <w:t>pocketability</w:t>
      </w:r>
      <w:proofErr w:type="spellEnd"/>
      <w:r w:rsidR="002C7FBB" w:rsidRPr="001A7D1D">
        <w:t>” and “</w:t>
      </w:r>
      <w:proofErr w:type="spellStart"/>
      <w:r w:rsidR="002C7FBB" w:rsidRPr="001A7D1D">
        <w:t>eatability</w:t>
      </w:r>
      <w:proofErr w:type="spellEnd"/>
      <w:r w:rsidR="002C7FBB" w:rsidRPr="001A7D1D">
        <w:t>,” as useful ways of comparing smartphones and tablets.” It also generated prediction questions: “What are the two devices being compared in the listening?”, “Why might people choose a smartphone instead of a tablet?”, “What factors might people consider when choosing between a smartphone and a tablet?”, “What do you think “</w:t>
      </w:r>
      <w:proofErr w:type="spellStart"/>
      <w:r w:rsidR="002C7FBB" w:rsidRPr="001A7D1D">
        <w:t>pocketability</w:t>
      </w:r>
      <w:proofErr w:type="spellEnd"/>
      <w:r w:rsidR="002C7FBB" w:rsidRPr="001A7D1D">
        <w:t>” might mean?”, and “What do you think “</w:t>
      </w:r>
      <w:proofErr w:type="spellStart"/>
      <w:r w:rsidR="002C7FBB" w:rsidRPr="001A7D1D">
        <w:t>eatability</w:t>
      </w:r>
      <w:proofErr w:type="spellEnd"/>
      <w:r w:rsidR="002C7FBB" w:rsidRPr="001A7D1D">
        <w:t>” might mean?”. The researcher reviewed all the generated materials for accuracy and relevance before presenting them to the students. The students completed these activities to activate relevant background knowledge before listening to the audio and answering the questions in the textbook unit.</w:t>
      </w:r>
    </w:p>
    <w:p w14:paraId="374AA561" w14:textId="76D93B3F" w:rsidR="002C7FBB" w:rsidRPr="001A7D1D" w:rsidRDefault="0007259D" w:rsidP="001A7D1D">
      <w:pPr>
        <w:tabs>
          <w:tab w:val="left" w:pos="720"/>
        </w:tabs>
        <w:spacing w:line="480" w:lineRule="auto"/>
        <w:jc w:val="both"/>
      </w:pPr>
      <w:r w:rsidRPr="001A7D1D">
        <w:tab/>
      </w:r>
      <w:r w:rsidR="002C7FBB" w:rsidRPr="001A7D1D">
        <w:t>This procedure was repeated throughout the eight-week intervention.</w:t>
      </w:r>
    </w:p>
    <w:p w14:paraId="7C6AC277" w14:textId="06C2E02B" w:rsidR="000955E5" w:rsidRPr="001A7D1D" w:rsidRDefault="0007259D" w:rsidP="001A7D1D">
      <w:pPr>
        <w:tabs>
          <w:tab w:val="left" w:pos="720"/>
        </w:tabs>
        <w:spacing w:line="480" w:lineRule="auto"/>
        <w:jc w:val="both"/>
      </w:pPr>
      <w:r w:rsidRPr="001A7D1D">
        <w:rPr>
          <w:b/>
          <w:bCs/>
        </w:rPr>
        <w:tab/>
      </w:r>
      <w:r w:rsidR="000955E5" w:rsidRPr="001A7D1D">
        <w:rPr>
          <w:b/>
          <w:bCs/>
        </w:rPr>
        <w:t xml:space="preserve">Stage 3: Post-test. </w:t>
      </w:r>
      <w:r w:rsidR="000955E5" w:rsidRPr="001A7D1D">
        <w:t>Following the intervention period, the participants completed the listening post-test under similar conditions to those of the pre-test. The post-test was administered to assess the changes in the participants’ listening performance.</w:t>
      </w:r>
    </w:p>
    <w:p w14:paraId="42B5E1C7" w14:textId="7D1E83E5" w:rsidR="00D017D0" w:rsidRPr="001A7D1D" w:rsidRDefault="0007259D" w:rsidP="001A7D1D">
      <w:pPr>
        <w:tabs>
          <w:tab w:val="left" w:pos="720"/>
        </w:tabs>
        <w:spacing w:line="480" w:lineRule="auto"/>
        <w:jc w:val="both"/>
      </w:pPr>
      <w:r w:rsidRPr="001A7D1D">
        <w:rPr>
          <w:b/>
          <w:bCs/>
        </w:rPr>
        <w:lastRenderedPageBreak/>
        <w:tab/>
      </w:r>
      <w:r w:rsidR="00FA244A" w:rsidRPr="001A7D1D">
        <w:rPr>
          <w:b/>
          <w:bCs/>
        </w:rPr>
        <w:t xml:space="preserve">Stage 4: Semi-structured Interviews. </w:t>
      </w:r>
      <w:r w:rsidR="00FA244A" w:rsidRPr="001A7D1D">
        <w:t xml:space="preserve">After the post-test, ten participants </w:t>
      </w:r>
      <w:r w:rsidR="002A5794" w:rsidRPr="001A7D1D">
        <w:t xml:space="preserve">who were selected on purpose </w:t>
      </w:r>
      <w:r w:rsidR="00FA244A" w:rsidRPr="001A7D1D">
        <w:t xml:space="preserve">took part in the semi-structured interviews to provide insights into their experiences during the intervention. The interview data were </w:t>
      </w:r>
      <w:r w:rsidR="002A5794" w:rsidRPr="001A7D1D">
        <w:t>finally</w:t>
      </w:r>
      <w:r w:rsidR="00FA244A" w:rsidRPr="001A7D1D">
        <w:t xml:space="preserve"> analyzed to explain the quantitative results.</w:t>
      </w:r>
    </w:p>
    <w:p w14:paraId="2AF54EB7" w14:textId="39D635CA" w:rsidR="00F50D01" w:rsidRPr="001A7D1D" w:rsidRDefault="002C7FBB" w:rsidP="001A7D1D">
      <w:pPr>
        <w:pStyle w:val="ListParagraph"/>
        <w:numPr>
          <w:ilvl w:val="0"/>
          <w:numId w:val="4"/>
        </w:numPr>
        <w:tabs>
          <w:tab w:val="left" w:pos="720"/>
        </w:tabs>
        <w:spacing w:line="480" w:lineRule="auto"/>
        <w:jc w:val="center"/>
        <w:rPr>
          <w:b/>
          <w:bCs/>
        </w:rPr>
      </w:pPr>
      <w:r w:rsidRPr="001A7D1D">
        <w:rPr>
          <w:b/>
          <w:bCs/>
        </w:rPr>
        <w:t>Results</w:t>
      </w:r>
    </w:p>
    <w:p w14:paraId="261BE1D5" w14:textId="08F3B38A" w:rsidR="00F50D01" w:rsidRPr="001A7D1D" w:rsidRDefault="003E68AF" w:rsidP="001A7D1D">
      <w:pPr>
        <w:pStyle w:val="ListParagraph"/>
        <w:numPr>
          <w:ilvl w:val="1"/>
          <w:numId w:val="4"/>
        </w:numPr>
        <w:spacing w:line="480" w:lineRule="auto"/>
        <w:ind w:left="360"/>
        <w:jc w:val="both"/>
        <w:rPr>
          <w:b/>
          <w:bCs/>
        </w:rPr>
      </w:pPr>
      <w:r w:rsidRPr="001A7D1D">
        <w:rPr>
          <w:b/>
          <w:bCs/>
        </w:rPr>
        <w:t xml:space="preserve"> </w:t>
      </w:r>
      <w:r w:rsidR="007B6305" w:rsidRPr="001A7D1D">
        <w:rPr>
          <w:b/>
          <w:bCs/>
        </w:rPr>
        <w:t xml:space="preserve">Listening comprehension </w:t>
      </w:r>
    </w:p>
    <w:p w14:paraId="0E18931A" w14:textId="43AEC3B0" w:rsidR="007B6305" w:rsidRPr="001A7D1D" w:rsidRDefault="007B6305" w:rsidP="001A7D1D">
      <w:pPr>
        <w:tabs>
          <w:tab w:val="left" w:pos="720"/>
        </w:tabs>
        <w:spacing w:line="480" w:lineRule="auto"/>
        <w:jc w:val="both"/>
        <w:rPr>
          <w:b/>
          <w:bCs/>
        </w:rPr>
      </w:pPr>
      <w:r w:rsidRPr="001A7D1D">
        <w:rPr>
          <w:b/>
          <w:bCs/>
        </w:rPr>
        <w:t>Table 1. Descriptive statistics of listening comprehension scores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7B6305" w:rsidRPr="001A7D1D" w14:paraId="21B762D0" w14:textId="77777777" w:rsidTr="002C7FBB">
        <w:tc>
          <w:tcPr>
            <w:tcW w:w="1558" w:type="dxa"/>
            <w:shd w:val="clear" w:color="auto" w:fill="D0CECE" w:themeFill="background2" w:themeFillShade="E6"/>
          </w:tcPr>
          <w:p w14:paraId="4D968246" w14:textId="5BB2F54C" w:rsidR="007B6305" w:rsidRPr="001A7D1D" w:rsidRDefault="007B6305" w:rsidP="001A7D1D">
            <w:pPr>
              <w:tabs>
                <w:tab w:val="left" w:pos="720"/>
              </w:tabs>
              <w:spacing w:line="480" w:lineRule="auto"/>
              <w:jc w:val="center"/>
            </w:pPr>
            <w:r w:rsidRPr="001A7D1D">
              <w:t>Test</w:t>
            </w:r>
          </w:p>
        </w:tc>
        <w:tc>
          <w:tcPr>
            <w:tcW w:w="1558" w:type="dxa"/>
            <w:shd w:val="clear" w:color="auto" w:fill="D0CECE" w:themeFill="background2" w:themeFillShade="E6"/>
          </w:tcPr>
          <w:p w14:paraId="22108642" w14:textId="64B7242D" w:rsidR="007B6305" w:rsidRPr="001A7D1D" w:rsidRDefault="007B6305" w:rsidP="001A7D1D">
            <w:pPr>
              <w:tabs>
                <w:tab w:val="left" w:pos="720"/>
              </w:tabs>
              <w:spacing w:line="480" w:lineRule="auto"/>
              <w:jc w:val="center"/>
            </w:pPr>
            <w:r w:rsidRPr="001A7D1D">
              <w:t>N</w:t>
            </w:r>
          </w:p>
        </w:tc>
        <w:tc>
          <w:tcPr>
            <w:tcW w:w="1558" w:type="dxa"/>
            <w:shd w:val="clear" w:color="auto" w:fill="D0CECE" w:themeFill="background2" w:themeFillShade="E6"/>
          </w:tcPr>
          <w:p w14:paraId="6EFB5FC0" w14:textId="6DE8F2FB" w:rsidR="007B6305" w:rsidRPr="001A7D1D" w:rsidRDefault="007B6305" w:rsidP="001A7D1D">
            <w:pPr>
              <w:tabs>
                <w:tab w:val="left" w:pos="720"/>
              </w:tabs>
              <w:spacing w:line="480" w:lineRule="auto"/>
              <w:jc w:val="center"/>
            </w:pPr>
            <w:r w:rsidRPr="001A7D1D">
              <w:t>Min</w:t>
            </w:r>
          </w:p>
        </w:tc>
        <w:tc>
          <w:tcPr>
            <w:tcW w:w="1558" w:type="dxa"/>
            <w:shd w:val="clear" w:color="auto" w:fill="D0CECE" w:themeFill="background2" w:themeFillShade="E6"/>
          </w:tcPr>
          <w:p w14:paraId="3C95376B" w14:textId="49D678CB" w:rsidR="007B6305" w:rsidRPr="001A7D1D" w:rsidRDefault="007B6305" w:rsidP="001A7D1D">
            <w:pPr>
              <w:tabs>
                <w:tab w:val="left" w:pos="720"/>
              </w:tabs>
              <w:spacing w:line="480" w:lineRule="auto"/>
              <w:jc w:val="center"/>
            </w:pPr>
            <w:r w:rsidRPr="001A7D1D">
              <w:t>Max</w:t>
            </w:r>
          </w:p>
        </w:tc>
        <w:tc>
          <w:tcPr>
            <w:tcW w:w="1559" w:type="dxa"/>
            <w:shd w:val="clear" w:color="auto" w:fill="D0CECE" w:themeFill="background2" w:themeFillShade="E6"/>
          </w:tcPr>
          <w:p w14:paraId="437BE8A6" w14:textId="5F0EB6B3" w:rsidR="007B6305" w:rsidRPr="001A7D1D" w:rsidRDefault="007B6305" w:rsidP="001A7D1D">
            <w:pPr>
              <w:tabs>
                <w:tab w:val="left" w:pos="720"/>
              </w:tabs>
              <w:spacing w:line="480" w:lineRule="auto"/>
              <w:jc w:val="center"/>
            </w:pPr>
            <w:r w:rsidRPr="001A7D1D">
              <w:t>M</w:t>
            </w:r>
          </w:p>
        </w:tc>
        <w:tc>
          <w:tcPr>
            <w:tcW w:w="1559" w:type="dxa"/>
            <w:shd w:val="clear" w:color="auto" w:fill="D0CECE" w:themeFill="background2" w:themeFillShade="E6"/>
          </w:tcPr>
          <w:p w14:paraId="03990DE9" w14:textId="4838AEBC" w:rsidR="007B6305" w:rsidRPr="001A7D1D" w:rsidRDefault="007B6305" w:rsidP="001A7D1D">
            <w:pPr>
              <w:tabs>
                <w:tab w:val="left" w:pos="720"/>
              </w:tabs>
              <w:spacing w:line="480" w:lineRule="auto"/>
              <w:jc w:val="center"/>
            </w:pPr>
            <w:r w:rsidRPr="001A7D1D">
              <w:t>SD</w:t>
            </w:r>
          </w:p>
        </w:tc>
      </w:tr>
      <w:tr w:rsidR="007B6305" w:rsidRPr="001A7D1D" w14:paraId="6430ADFE" w14:textId="77777777" w:rsidTr="007B6305">
        <w:tc>
          <w:tcPr>
            <w:tcW w:w="1558" w:type="dxa"/>
          </w:tcPr>
          <w:p w14:paraId="13567DC3" w14:textId="29B44B42" w:rsidR="007B6305" w:rsidRPr="001A7D1D" w:rsidRDefault="007B6305" w:rsidP="001A7D1D">
            <w:pPr>
              <w:tabs>
                <w:tab w:val="left" w:pos="720"/>
              </w:tabs>
              <w:spacing w:line="480" w:lineRule="auto"/>
              <w:jc w:val="center"/>
            </w:pPr>
            <w:r w:rsidRPr="001A7D1D">
              <w:t>Pre-test</w:t>
            </w:r>
          </w:p>
        </w:tc>
        <w:tc>
          <w:tcPr>
            <w:tcW w:w="1558" w:type="dxa"/>
          </w:tcPr>
          <w:p w14:paraId="78235E27" w14:textId="032987B0" w:rsidR="007B6305" w:rsidRPr="001A7D1D" w:rsidRDefault="007B6305" w:rsidP="001A7D1D">
            <w:pPr>
              <w:tabs>
                <w:tab w:val="left" w:pos="720"/>
              </w:tabs>
              <w:spacing w:line="480" w:lineRule="auto"/>
              <w:jc w:val="center"/>
            </w:pPr>
            <w:r w:rsidRPr="001A7D1D">
              <w:t>38</w:t>
            </w:r>
          </w:p>
        </w:tc>
        <w:tc>
          <w:tcPr>
            <w:tcW w:w="1558" w:type="dxa"/>
          </w:tcPr>
          <w:p w14:paraId="7FE006D5" w14:textId="1CBE8A9C" w:rsidR="007B6305" w:rsidRPr="001A7D1D" w:rsidRDefault="007B6305" w:rsidP="001A7D1D">
            <w:pPr>
              <w:tabs>
                <w:tab w:val="left" w:pos="720"/>
              </w:tabs>
              <w:spacing w:line="480" w:lineRule="auto"/>
              <w:jc w:val="center"/>
            </w:pPr>
            <w:r w:rsidRPr="001A7D1D">
              <w:t>3</w:t>
            </w:r>
          </w:p>
        </w:tc>
        <w:tc>
          <w:tcPr>
            <w:tcW w:w="1558" w:type="dxa"/>
          </w:tcPr>
          <w:p w14:paraId="50732592" w14:textId="40267D5E" w:rsidR="007B6305" w:rsidRPr="001A7D1D" w:rsidRDefault="007B6305" w:rsidP="001A7D1D">
            <w:pPr>
              <w:tabs>
                <w:tab w:val="left" w:pos="720"/>
              </w:tabs>
              <w:spacing w:line="480" w:lineRule="auto"/>
              <w:jc w:val="center"/>
            </w:pPr>
            <w:r w:rsidRPr="001A7D1D">
              <w:t>23</w:t>
            </w:r>
          </w:p>
        </w:tc>
        <w:tc>
          <w:tcPr>
            <w:tcW w:w="1559" w:type="dxa"/>
          </w:tcPr>
          <w:p w14:paraId="6C75262E" w14:textId="60663C71" w:rsidR="007B6305" w:rsidRPr="001A7D1D" w:rsidRDefault="007B6305" w:rsidP="001A7D1D">
            <w:pPr>
              <w:tabs>
                <w:tab w:val="left" w:pos="720"/>
              </w:tabs>
              <w:spacing w:line="480" w:lineRule="auto"/>
              <w:jc w:val="center"/>
            </w:pPr>
            <w:r w:rsidRPr="001A7D1D">
              <w:t>11.68</w:t>
            </w:r>
          </w:p>
        </w:tc>
        <w:tc>
          <w:tcPr>
            <w:tcW w:w="1559" w:type="dxa"/>
          </w:tcPr>
          <w:p w14:paraId="6546B23D" w14:textId="61D1241A" w:rsidR="007B6305" w:rsidRPr="001A7D1D" w:rsidRDefault="007B6305" w:rsidP="001A7D1D">
            <w:pPr>
              <w:tabs>
                <w:tab w:val="left" w:pos="720"/>
              </w:tabs>
              <w:spacing w:line="480" w:lineRule="auto"/>
              <w:jc w:val="center"/>
            </w:pPr>
            <w:r w:rsidRPr="001A7D1D">
              <w:t>4.92</w:t>
            </w:r>
          </w:p>
        </w:tc>
      </w:tr>
      <w:tr w:rsidR="007B6305" w:rsidRPr="001A7D1D" w14:paraId="0AABFF42" w14:textId="77777777" w:rsidTr="007B6305">
        <w:tc>
          <w:tcPr>
            <w:tcW w:w="1558" w:type="dxa"/>
          </w:tcPr>
          <w:p w14:paraId="3A8FCF54" w14:textId="0267D731" w:rsidR="007B6305" w:rsidRPr="001A7D1D" w:rsidRDefault="007B6305" w:rsidP="001A7D1D">
            <w:pPr>
              <w:tabs>
                <w:tab w:val="left" w:pos="720"/>
              </w:tabs>
              <w:spacing w:line="480" w:lineRule="auto"/>
              <w:jc w:val="center"/>
            </w:pPr>
            <w:r w:rsidRPr="001A7D1D">
              <w:t>Post-test</w:t>
            </w:r>
          </w:p>
        </w:tc>
        <w:tc>
          <w:tcPr>
            <w:tcW w:w="1558" w:type="dxa"/>
          </w:tcPr>
          <w:p w14:paraId="3A118C21" w14:textId="237A8DC5" w:rsidR="007B6305" w:rsidRPr="001A7D1D" w:rsidRDefault="007B6305" w:rsidP="001A7D1D">
            <w:pPr>
              <w:tabs>
                <w:tab w:val="left" w:pos="720"/>
              </w:tabs>
              <w:spacing w:line="480" w:lineRule="auto"/>
              <w:jc w:val="center"/>
            </w:pPr>
            <w:r w:rsidRPr="001A7D1D">
              <w:t>38</w:t>
            </w:r>
          </w:p>
        </w:tc>
        <w:tc>
          <w:tcPr>
            <w:tcW w:w="1558" w:type="dxa"/>
          </w:tcPr>
          <w:p w14:paraId="4E3993D2" w14:textId="54D84D39" w:rsidR="007B6305" w:rsidRPr="001A7D1D" w:rsidRDefault="007B6305" w:rsidP="001A7D1D">
            <w:pPr>
              <w:tabs>
                <w:tab w:val="left" w:pos="720"/>
              </w:tabs>
              <w:spacing w:line="480" w:lineRule="auto"/>
              <w:jc w:val="center"/>
            </w:pPr>
            <w:r w:rsidRPr="001A7D1D">
              <w:t>8</w:t>
            </w:r>
          </w:p>
        </w:tc>
        <w:tc>
          <w:tcPr>
            <w:tcW w:w="1558" w:type="dxa"/>
          </w:tcPr>
          <w:p w14:paraId="11E8C438" w14:textId="003E64D8" w:rsidR="007B6305" w:rsidRPr="001A7D1D" w:rsidRDefault="007B6305" w:rsidP="001A7D1D">
            <w:pPr>
              <w:tabs>
                <w:tab w:val="left" w:pos="720"/>
              </w:tabs>
              <w:spacing w:line="480" w:lineRule="auto"/>
              <w:jc w:val="center"/>
            </w:pPr>
            <w:r w:rsidRPr="001A7D1D">
              <w:t>25</w:t>
            </w:r>
          </w:p>
        </w:tc>
        <w:tc>
          <w:tcPr>
            <w:tcW w:w="1559" w:type="dxa"/>
          </w:tcPr>
          <w:p w14:paraId="29BC6586" w14:textId="13C30E72" w:rsidR="007B6305" w:rsidRPr="001A7D1D" w:rsidRDefault="007B6305" w:rsidP="001A7D1D">
            <w:pPr>
              <w:tabs>
                <w:tab w:val="left" w:pos="720"/>
              </w:tabs>
              <w:spacing w:line="480" w:lineRule="auto"/>
              <w:jc w:val="center"/>
            </w:pPr>
            <w:r w:rsidRPr="001A7D1D">
              <w:t>16.45</w:t>
            </w:r>
          </w:p>
        </w:tc>
        <w:tc>
          <w:tcPr>
            <w:tcW w:w="1559" w:type="dxa"/>
          </w:tcPr>
          <w:p w14:paraId="3B8F7C9A" w14:textId="245A1D8F" w:rsidR="007B6305" w:rsidRPr="001A7D1D" w:rsidRDefault="007B6305" w:rsidP="001A7D1D">
            <w:pPr>
              <w:tabs>
                <w:tab w:val="left" w:pos="720"/>
              </w:tabs>
              <w:spacing w:line="480" w:lineRule="auto"/>
              <w:jc w:val="center"/>
            </w:pPr>
            <w:r w:rsidRPr="001A7D1D">
              <w:t>5.38</w:t>
            </w:r>
          </w:p>
        </w:tc>
      </w:tr>
    </w:tbl>
    <w:p w14:paraId="70333FF8" w14:textId="2E096197" w:rsidR="007F09DA" w:rsidRPr="001A7D1D" w:rsidRDefault="007F09DA" w:rsidP="001A7D1D">
      <w:pPr>
        <w:tabs>
          <w:tab w:val="left" w:pos="720"/>
        </w:tabs>
        <w:spacing w:line="480" w:lineRule="auto"/>
        <w:ind w:firstLine="720"/>
        <w:jc w:val="both"/>
      </w:pPr>
      <w:r w:rsidRPr="001A7D1D">
        <w:t xml:space="preserve">As shown in Table 1, the participants’ mean listening comprehension score rose from 11.68 (SD = 4.92) in the pre-test to 16.45 (SD = 5.38) in the post-test. This represents a mean increase of </w:t>
      </w:r>
      <w:r w:rsidR="003E68AF" w:rsidRPr="001A7D1D">
        <w:t xml:space="preserve">about </w:t>
      </w:r>
      <w:r w:rsidRPr="001A7D1D">
        <w:t>4.76 points following the eight-week intervention. The post-test showed a higher minimum score (8) and maximum score (25) than the pre-test (3 and 23, respectively).</w:t>
      </w:r>
    </w:p>
    <w:p w14:paraId="4879A92E" w14:textId="73256285" w:rsidR="007F09DA" w:rsidRPr="001A7D1D" w:rsidRDefault="007F09DA" w:rsidP="001A7D1D">
      <w:pPr>
        <w:tabs>
          <w:tab w:val="left" w:pos="720"/>
        </w:tabs>
        <w:spacing w:line="480" w:lineRule="auto"/>
        <w:jc w:val="both"/>
        <w:rPr>
          <w:b/>
          <w:bCs/>
        </w:rPr>
      </w:pPr>
      <w:r w:rsidRPr="001A7D1D">
        <w:rPr>
          <w:b/>
          <w:bCs/>
        </w:rPr>
        <w:t>Table 2. Paired-Samples t-Test of Listening Comprehension Scores</w:t>
      </w:r>
    </w:p>
    <w:tbl>
      <w:tblPr>
        <w:tblStyle w:val="TableGrid"/>
        <w:tblW w:w="0" w:type="auto"/>
        <w:tblLook w:val="04A0" w:firstRow="1" w:lastRow="0" w:firstColumn="1" w:lastColumn="0" w:noHBand="0" w:noVBand="1"/>
      </w:tblPr>
      <w:tblGrid>
        <w:gridCol w:w="1390"/>
        <w:gridCol w:w="1242"/>
        <w:gridCol w:w="1120"/>
        <w:gridCol w:w="1136"/>
        <w:gridCol w:w="1136"/>
        <w:gridCol w:w="1136"/>
        <w:gridCol w:w="1084"/>
        <w:gridCol w:w="1106"/>
      </w:tblGrid>
      <w:tr w:rsidR="007F09DA" w:rsidRPr="001A7D1D" w14:paraId="227C7598" w14:textId="1C059C72" w:rsidTr="002C7FBB">
        <w:tc>
          <w:tcPr>
            <w:tcW w:w="1168" w:type="dxa"/>
            <w:shd w:val="clear" w:color="auto" w:fill="D0CECE" w:themeFill="background2" w:themeFillShade="E6"/>
          </w:tcPr>
          <w:p w14:paraId="5B3FFF4E" w14:textId="760C223B" w:rsidR="007F09DA" w:rsidRPr="001A7D1D" w:rsidRDefault="007F09DA" w:rsidP="001A7D1D">
            <w:pPr>
              <w:tabs>
                <w:tab w:val="left" w:pos="720"/>
              </w:tabs>
              <w:spacing w:line="480" w:lineRule="auto"/>
              <w:jc w:val="center"/>
            </w:pPr>
            <w:r w:rsidRPr="001A7D1D">
              <w:t>Comparison</w:t>
            </w:r>
          </w:p>
        </w:tc>
        <w:tc>
          <w:tcPr>
            <w:tcW w:w="1168" w:type="dxa"/>
            <w:shd w:val="clear" w:color="auto" w:fill="D0CECE" w:themeFill="background2" w:themeFillShade="E6"/>
          </w:tcPr>
          <w:p w14:paraId="38AB3DB9" w14:textId="309C5FE2" w:rsidR="007F09DA" w:rsidRPr="001A7D1D" w:rsidRDefault="007F09DA" w:rsidP="001A7D1D">
            <w:pPr>
              <w:tabs>
                <w:tab w:val="left" w:pos="720"/>
              </w:tabs>
              <w:spacing w:line="480" w:lineRule="auto"/>
              <w:jc w:val="center"/>
            </w:pPr>
            <w:r w:rsidRPr="001A7D1D">
              <w:t>Mean</w:t>
            </w:r>
          </w:p>
          <w:p w14:paraId="41322755" w14:textId="47E5EE58" w:rsidR="007F09DA" w:rsidRPr="001A7D1D" w:rsidRDefault="007F09DA" w:rsidP="001A7D1D">
            <w:pPr>
              <w:tabs>
                <w:tab w:val="left" w:pos="720"/>
              </w:tabs>
              <w:spacing w:line="480" w:lineRule="auto"/>
              <w:jc w:val="center"/>
            </w:pPr>
            <w:r w:rsidRPr="001A7D1D">
              <w:t>Difference</w:t>
            </w:r>
          </w:p>
        </w:tc>
        <w:tc>
          <w:tcPr>
            <w:tcW w:w="1169" w:type="dxa"/>
            <w:shd w:val="clear" w:color="auto" w:fill="D0CECE" w:themeFill="background2" w:themeFillShade="E6"/>
          </w:tcPr>
          <w:p w14:paraId="3C1BB31C" w14:textId="160FC711" w:rsidR="007F09DA" w:rsidRPr="001A7D1D" w:rsidRDefault="007F09DA" w:rsidP="001A7D1D">
            <w:pPr>
              <w:tabs>
                <w:tab w:val="left" w:pos="720"/>
              </w:tabs>
              <w:spacing w:line="480" w:lineRule="auto"/>
              <w:jc w:val="center"/>
            </w:pPr>
            <w:r w:rsidRPr="001A7D1D">
              <w:t>SD</w:t>
            </w:r>
          </w:p>
        </w:tc>
        <w:tc>
          <w:tcPr>
            <w:tcW w:w="1169" w:type="dxa"/>
            <w:shd w:val="clear" w:color="auto" w:fill="D0CECE" w:themeFill="background2" w:themeFillShade="E6"/>
          </w:tcPr>
          <w:p w14:paraId="0DB2FABD" w14:textId="08F0D264" w:rsidR="007F09DA" w:rsidRPr="001A7D1D" w:rsidRDefault="007F09DA" w:rsidP="001A7D1D">
            <w:pPr>
              <w:tabs>
                <w:tab w:val="left" w:pos="720"/>
              </w:tabs>
              <w:spacing w:line="480" w:lineRule="auto"/>
              <w:jc w:val="center"/>
            </w:pPr>
            <w:r w:rsidRPr="001A7D1D">
              <w:t>95% CI Lower</w:t>
            </w:r>
          </w:p>
        </w:tc>
        <w:tc>
          <w:tcPr>
            <w:tcW w:w="1169" w:type="dxa"/>
            <w:shd w:val="clear" w:color="auto" w:fill="D0CECE" w:themeFill="background2" w:themeFillShade="E6"/>
          </w:tcPr>
          <w:p w14:paraId="2649D5AA" w14:textId="14AB56F6" w:rsidR="007F09DA" w:rsidRPr="001A7D1D" w:rsidRDefault="007F09DA" w:rsidP="001A7D1D">
            <w:pPr>
              <w:tabs>
                <w:tab w:val="left" w:pos="720"/>
              </w:tabs>
              <w:spacing w:line="480" w:lineRule="auto"/>
              <w:jc w:val="center"/>
            </w:pPr>
            <w:r w:rsidRPr="001A7D1D">
              <w:t>95% CI Upper</w:t>
            </w:r>
          </w:p>
        </w:tc>
        <w:tc>
          <w:tcPr>
            <w:tcW w:w="1169" w:type="dxa"/>
            <w:shd w:val="clear" w:color="auto" w:fill="D0CECE" w:themeFill="background2" w:themeFillShade="E6"/>
          </w:tcPr>
          <w:p w14:paraId="7996ACA7" w14:textId="08357E6B" w:rsidR="007F09DA" w:rsidRPr="001A7D1D" w:rsidRDefault="007F09DA" w:rsidP="001A7D1D">
            <w:pPr>
              <w:tabs>
                <w:tab w:val="left" w:pos="720"/>
              </w:tabs>
              <w:spacing w:line="480" w:lineRule="auto"/>
              <w:jc w:val="center"/>
              <w:rPr>
                <w:i/>
                <w:iCs/>
              </w:rPr>
            </w:pPr>
            <w:r w:rsidRPr="001A7D1D">
              <w:rPr>
                <w:i/>
                <w:iCs/>
              </w:rPr>
              <w:t>t</w:t>
            </w:r>
          </w:p>
        </w:tc>
        <w:tc>
          <w:tcPr>
            <w:tcW w:w="1169" w:type="dxa"/>
            <w:shd w:val="clear" w:color="auto" w:fill="D0CECE" w:themeFill="background2" w:themeFillShade="E6"/>
          </w:tcPr>
          <w:p w14:paraId="246A70F7" w14:textId="01E76DAC" w:rsidR="007F09DA" w:rsidRPr="001A7D1D" w:rsidRDefault="007F09DA" w:rsidP="001A7D1D">
            <w:pPr>
              <w:tabs>
                <w:tab w:val="left" w:pos="720"/>
              </w:tabs>
              <w:spacing w:line="480" w:lineRule="auto"/>
              <w:jc w:val="center"/>
            </w:pPr>
            <w:proofErr w:type="spellStart"/>
            <w:r w:rsidRPr="001A7D1D">
              <w:t>df</w:t>
            </w:r>
            <w:proofErr w:type="spellEnd"/>
          </w:p>
        </w:tc>
        <w:tc>
          <w:tcPr>
            <w:tcW w:w="1169" w:type="dxa"/>
            <w:shd w:val="clear" w:color="auto" w:fill="D0CECE" w:themeFill="background2" w:themeFillShade="E6"/>
          </w:tcPr>
          <w:p w14:paraId="1E4F957C" w14:textId="2523C0FE" w:rsidR="007F09DA" w:rsidRPr="001A7D1D" w:rsidRDefault="007F09DA" w:rsidP="001A7D1D">
            <w:pPr>
              <w:tabs>
                <w:tab w:val="left" w:pos="720"/>
              </w:tabs>
              <w:spacing w:line="480" w:lineRule="auto"/>
              <w:jc w:val="center"/>
              <w:rPr>
                <w:i/>
                <w:iCs/>
              </w:rPr>
            </w:pPr>
            <w:r w:rsidRPr="001A7D1D">
              <w:rPr>
                <w:i/>
                <w:iCs/>
              </w:rPr>
              <w:t>p</w:t>
            </w:r>
          </w:p>
        </w:tc>
      </w:tr>
      <w:tr w:rsidR="007F09DA" w:rsidRPr="001A7D1D" w14:paraId="7FB6C2D7" w14:textId="6E26883E" w:rsidTr="007F09DA">
        <w:tc>
          <w:tcPr>
            <w:tcW w:w="1168" w:type="dxa"/>
          </w:tcPr>
          <w:p w14:paraId="7D1BAB78" w14:textId="11276D64" w:rsidR="007F09DA" w:rsidRPr="001A7D1D" w:rsidRDefault="007F09DA" w:rsidP="001A7D1D">
            <w:pPr>
              <w:tabs>
                <w:tab w:val="left" w:pos="720"/>
              </w:tabs>
              <w:spacing w:line="480" w:lineRule="auto"/>
              <w:jc w:val="center"/>
            </w:pPr>
            <w:r w:rsidRPr="001A7D1D">
              <w:t>Pre-test</w:t>
            </w:r>
          </w:p>
          <w:p w14:paraId="1BB81519" w14:textId="57734B46" w:rsidR="007F09DA" w:rsidRPr="001A7D1D" w:rsidRDefault="007F09DA" w:rsidP="001A7D1D">
            <w:pPr>
              <w:tabs>
                <w:tab w:val="left" w:pos="720"/>
              </w:tabs>
              <w:spacing w:line="480" w:lineRule="auto"/>
              <w:jc w:val="center"/>
            </w:pPr>
            <w:r w:rsidRPr="001A7D1D">
              <w:t>– Post-test</w:t>
            </w:r>
          </w:p>
        </w:tc>
        <w:tc>
          <w:tcPr>
            <w:tcW w:w="1168" w:type="dxa"/>
          </w:tcPr>
          <w:p w14:paraId="000E2180" w14:textId="79DC041F" w:rsidR="007F09DA" w:rsidRPr="001A7D1D" w:rsidRDefault="007F09DA" w:rsidP="001A7D1D">
            <w:pPr>
              <w:tabs>
                <w:tab w:val="left" w:pos="720"/>
              </w:tabs>
              <w:spacing w:line="480" w:lineRule="auto"/>
              <w:jc w:val="center"/>
            </w:pPr>
            <w:r w:rsidRPr="001A7D1D">
              <w:t>−4.763</w:t>
            </w:r>
          </w:p>
        </w:tc>
        <w:tc>
          <w:tcPr>
            <w:tcW w:w="1169" w:type="dxa"/>
          </w:tcPr>
          <w:p w14:paraId="3927CE91" w14:textId="397A4ED0" w:rsidR="007F09DA" w:rsidRPr="001A7D1D" w:rsidRDefault="007F09DA" w:rsidP="001A7D1D">
            <w:pPr>
              <w:tabs>
                <w:tab w:val="left" w:pos="720"/>
              </w:tabs>
              <w:spacing w:line="480" w:lineRule="auto"/>
              <w:jc w:val="center"/>
            </w:pPr>
            <w:r w:rsidRPr="001A7D1D">
              <w:t>3.738</w:t>
            </w:r>
          </w:p>
        </w:tc>
        <w:tc>
          <w:tcPr>
            <w:tcW w:w="1169" w:type="dxa"/>
          </w:tcPr>
          <w:p w14:paraId="472C6AD1" w14:textId="241BE863" w:rsidR="007F09DA" w:rsidRPr="001A7D1D" w:rsidRDefault="007F09DA" w:rsidP="001A7D1D">
            <w:pPr>
              <w:tabs>
                <w:tab w:val="left" w:pos="720"/>
              </w:tabs>
              <w:spacing w:line="480" w:lineRule="auto"/>
              <w:jc w:val="center"/>
            </w:pPr>
            <w:r w:rsidRPr="001A7D1D">
              <w:t>−5.992</w:t>
            </w:r>
          </w:p>
        </w:tc>
        <w:tc>
          <w:tcPr>
            <w:tcW w:w="1169" w:type="dxa"/>
          </w:tcPr>
          <w:p w14:paraId="0E0AA8BF" w14:textId="60DB0AA9" w:rsidR="007F09DA" w:rsidRPr="001A7D1D" w:rsidRDefault="007F09DA" w:rsidP="001A7D1D">
            <w:pPr>
              <w:tabs>
                <w:tab w:val="left" w:pos="720"/>
              </w:tabs>
              <w:spacing w:line="480" w:lineRule="auto"/>
              <w:jc w:val="center"/>
            </w:pPr>
            <w:r w:rsidRPr="001A7D1D">
              <w:t>−3.535</w:t>
            </w:r>
          </w:p>
        </w:tc>
        <w:tc>
          <w:tcPr>
            <w:tcW w:w="1169" w:type="dxa"/>
          </w:tcPr>
          <w:p w14:paraId="49F8728A" w14:textId="0FC23A29" w:rsidR="007F09DA" w:rsidRPr="001A7D1D" w:rsidRDefault="007F09DA" w:rsidP="001A7D1D">
            <w:pPr>
              <w:tabs>
                <w:tab w:val="left" w:pos="720"/>
              </w:tabs>
              <w:spacing w:line="480" w:lineRule="auto"/>
              <w:jc w:val="center"/>
            </w:pPr>
            <w:r w:rsidRPr="001A7D1D">
              <w:t>−7.856</w:t>
            </w:r>
          </w:p>
        </w:tc>
        <w:tc>
          <w:tcPr>
            <w:tcW w:w="1169" w:type="dxa"/>
          </w:tcPr>
          <w:p w14:paraId="5B4EF917" w14:textId="59AB8BEC" w:rsidR="007F09DA" w:rsidRPr="001A7D1D" w:rsidRDefault="007F09DA" w:rsidP="001A7D1D">
            <w:pPr>
              <w:tabs>
                <w:tab w:val="left" w:pos="720"/>
              </w:tabs>
              <w:spacing w:line="480" w:lineRule="auto"/>
              <w:jc w:val="center"/>
            </w:pPr>
            <w:r w:rsidRPr="001A7D1D">
              <w:t>37</w:t>
            </w:r>
          </w:p>
        </w:tc>
        <w:tc>
          <w:tcPr>
            <w:tcW w:w="1169" w:type="dxa"/>
          </w:tcPr>
          <w:p w14:paraId="57459654" w14:textId="43C01599" w:rsidR="007F09DA" w:rsidRPr="001A7D1D" w:rsidRDefault="007F09DA" w:rsidP="001A7D1D">
            <w:pPr>
              <w:tabs>
                <w:tab w:val="left" w:pos="720"/>
              </w:tabs>
              <w:spacing w:line="480" w:lineRule="auto"/>
              <w:jc w:val="center"/>
            </w:pPr>
            <w:r w:rsidRPr="001A7D1D">
              <w:t>&lt; .001</w:t>
            </w:r>
          </w:p>
        </w:tc>
      </w:tr>
    </w:tbl>
    <w:p w14:paraId="5294079E" w14:textId="41BF6ABB" w:rsidR="00BD4DC0" w:rsidRPr="001A7D1D" w:rsidRDefault="007F09DA" w:rsidP="001A7D1D">
      <w:pPr>
        <w:tabs>
          <w:tab w:val="left" w:pos="720"/>
        </w:tabs>
        <w:spacing w:line="480" w:lineRule="auto"/>
        <w:ind w:firstLine="720"/>
        <w:jc w:val="both"/>
      </w:pPr>
      <w:r w:rsidRPr="001A7D1D">
        <w:t xml:space="preserve">A paired-samples </w:t>
      </w:r>
      <w:r w:rsidRPr="001A7D1D">
        <w:rPr>
          <w:i/>
          <w:iCs/>
        </w:rPr>
        <w:t>t</w:t>
      </w:r>
      <w:r w:rsidRPr="001A7D1D">
        <w:t>-test was conducted to compare the pre-test and post-test scores and determine whether the improvement was statistically significant.</w:t>
      </w:r>
      <w:r w:rsidR="003E68AF" w:rsidRPr="001A7D1D">
        <w:t xml:space="preserve"> </w:t>
      </w:r>
      <w:r w:rsidRPr="001A7D1D">
        <w:t xml:space="preserve">As shown in Table 2, the results revealed a statistically significant difference between the two measurements, </w:t>
      </w:r>
      <w:proofErr w:type="gramStart"/>
      <w:r w:rsidRPr="001A7D1D">
        <w:rPr>
          <w:i/>
          <w:iCs/>
        </w:rPr>
        <w:t>t</w:t>
      </w:r>
      <w:r w:rsidRPr="001A7D1D">
        <w:t>(</w:t>
      </w:r>
      <w:proofErr w:type="gramEnd"/>
      <w:r w:rsidRPr="001A7D1D">
        <w:t xml:space="preserve">37) = −7.856, </w:t>
      </w:r>
      <w:r w:rsidRPr="001A7D1D">
        <w:rPr>
          <w:i/>
          <w:iCs/>
        </w:rPr>
        <w:t>p</w:t>
      </w:r>
      <w:r w:rsidRPr="001A7D1D">
        <w:t xml:space="preserve"> &lt; .001. The mean difference was −4.763 points, with a 95% confidence interval ranging from −5.992 </w:t>
      </w:r>
      <w:r w:rsidRPr="001A7D1D">
        <w:lastRenderedPageBreak/>
        <w:t>to −3.535. These findings indicate that the participants’ listening comprehension improved significantly following the eight-week intervention</w:t>
      </w:r>
      <w:r w:rsidR="004667FE" w:rsidRPr="001A7D1D">
        <w:t>.</w:t>
      </w:r>
    </w:p>
    <w:p w14:paraId="7AE91E6A" w14:textId="65160B71" w:rsidR="00BD4DC0" w:rsidRPr="001A7D1D" w:rsidRDefault="003E68AF" w:rsidP="001A7D1D">
      <w:pPr>
        <w:pStyle w:val="ListParagraph"/>
        <w:numPr>
          <w:ilvl w:val="1"/>
          <w:numId w:val="4"/>
        </w:numPr>
        <w:spacing w:line="480" w:lineRule="auto"/>
        <w:ind w:left="360"/>
        <w:jc w:val="both"/>
        <w:rPr>
          <w:b/>
          <w:bCs/>
        </w:rPr>
      </w:pPr>
      <w:r w:rsidRPr="001A7D1D">
        <w:rPr>
          <w:b/>
          <w:bCs/>
        </w:rPr>
        <w:t xml:space="preserve"> </w:t>
      </w:r>
      <w:r w:rsidR="00BD4DC0" w:rsidRPr="001A7D1D">
        <w:rPr>
          <w:b/>
          <w:bCs/>
        </w:rPr>
        <w:t>Students’ Perceptions of Cognitive Load</w:t>
      </w:r>
    </w:p>
    <w:p w14:paraId="7C5D10ED" w14:textId="6506063E" w:rsidR="00BD4DC0" w:rsidRPr="001A7D1D" w:rsidRDefault="00BD4DC0" w:rsidP="001A7D1D">
      <w:pPr>
        <w:tabs>
          <w:tab w:val="left" w:pos="720"/>
        </w:tabs>
        <w:spacing w:line="480" w:lineRule="auto"/>
        <w:jc w:val="both"/>
        <w:rPr>
          <w:b/>
          <w:bCs/>
        </w:rPr>
      </w:pPr>
      <w:r w:rsidRPr="001A7D1D">
        <w:rPr>
          <w:b/>
          <w:bCs/>
        </w:rPr>
        <w:t>Table 3. Descriptive Statistics of Students’ Perceptions of Cognitive Load</w:t>
      </w:r>
    </w:p>
    <w:tbl>
      <w:tblPr>
        <w:tblStyle w:val="TableGrid"/>
        <w:tblW w:w="0" w:type="auto"/>
        <w:tblLook w:val="04A0" w:firstRow="1" w:lastRow="0" w:firstColumn="1" w:lastColumn="0" w:noHBand="0" w:noVBand="1"/>
      </w:tblPr>
      <w:tblGrid>
        <w:gridCol w:w="3116"/>
        <w:gridCol w:w="3117"/>
        <w:gridCol w:w="3117"/>
      </w:tblGrid>
      <w:tr w:rsidR="00BD4DC0" w:rsidRPr="001A7D1D" w14:paraId="706011C6" w14:textId="77777777" w:rsidTr="003E68AF">
        <w:tc>
          <w:tcPr>
            <w:tcW w:w="3116" w:type="dxa"/>
            <w:shd w:val="clear" w:color="auto" w:fill="D0CECE" w:themeFill="background2" w:themeFillShade="E6"/>
          </w:tcPr>
          <w:p w14:paraId="4529FCB6" w14:textId="7478C8FB" w:rsidR="00BD4DC0" w:rsidRPr="001A7D1D" w:rsidRDefault="00BD4DC0" w:rsidP="001A7D1D">
            <w:pPr>
              <w:tabs>
                <w:tab w:val="left" w:pos="720"/>
              </w:tabs>
              <w:spacing w:line="480" w:lineRule="auto"/>
              <w:jc w:val="center"/>
            </w:pPr>
            <w:r w:rsidRPr="001A7D1D">
              <w:t>Cognitive Load Dimension</w:t>
            </w:r>
          </w:p>
        </w:tc>
        <w:tc>
          <w:tcPr>
            <w:tcW w:w="3117" w:type="dxa"/>
            <w:shd w:val="clear" w:color="auto" w:fill="D0CECE" w:themeFill="background2" w:themeFillShade="E6"/>
          </w:tcPr>
          <w:p w14:paraId="76D0B94A" w14:textId="02C14D03" w:rsidR="00BD4DC0" w:rsidRPr="001A7D1D" w:rsidRDefault="00BD4DC0" w:rsidP="001A7D1D">
            <w:pPr>
              <w:tabs>
                <w:tab w:val="left" w:pos="720"/>
              </w:tabs>
              <w:spacing w:line="480" w:lineRule="auto"/>
              <w:jc w:val="center"/>
            </w:pPr>
            <w:r w:rsidRPr="001A7D1D">
              <w:t>Mean (M)</w:t>
            </w:r>
          </w:p>
        </w:tc>
        <w:tc>
          <w:tcPr>
            <w:tcW w:w="3117" w:type="dxa"/>
            <w:shd w:val="clear" w:color="auto" w:fill="D0CECE" w:themeFill="background2" w:themeFillShade="E6"/>
          </w:tcPr>
          <w:p w14:paraId="406150A8" w14:textId="374A9E64" w:rsidR="00BD4DC0" w:rsidRPr="001A7D1D" w:rsidRDefault="00BD4DC0" w:rsidP="001A7D1D">
            <w:pPr>
              <w:tabs>
                <w:tab w:val="left" w:pos="720"/>
              </w:tabs>
              <w:spacing w:line="480" w:lineRule="auto"/>
              <w:jc w:val="center"/>
            </w:pPr>
            <w:r w:rsidRPr="001A7D1D">
              <w:t>Standard Deviation (SD)</w:t>
            </w:r>
          </w:p>
        </w:tc>
      </w:tr>
      <w:tr w:rsidR="00BD4DC0" w:rsidRPr="001A7D1D" w14:paraId="552E5272" w14:textId="77777777" w:rsidTr="00BD4DC0">
        <w:tc>
          <w:tcPr>
            <w:tcW w:w="3116" w:type="dxa"/>
          </w:tcPr>
          <w:p w14:paraId="3096C37B" w14:textId="1BCBE949" w:rsidR="00BD4DC0" w:rsidRPr="001A7D1D" w:rsidRDefault="00BD4DC0" w:rsidP="001A7D1D">
            <w:pPr>
              <w:tabs>
                <w:tab w:val="left" w:pos="720"/>
              </w:tabs>
              <w:spacing w:line="480" w:lineRule="auto"/>
              <w:jc w:val="center"/>
            </w:pPr>
            <w:r w:rsidRPr="001A7D1D">
              <w:t>Extraneous Cognitive Load</w:t>
            </w:r>
          </w:p>
        </w:tc>
        <w:tc>
          <w:tcPr>
            <w:tcW w:w="3117" w:type="dxa"/>
          </w:tcPr>
          <w:p w14:paraId="22D6048D" w14:textId="0F801860" w:rsidR="00BD4DC0" w:rsidRPr="001A7D1D" w:rsidRDefault="003E68AF" w:rsidP="001A7D1D">
            <w:pPr>
              <w:tabs>
                <w:tab w:val="left" w:pos="720"/>
              </w:tabs>
              <w:spacing w:line="480" w:lineRule="auto"/>
              <w:ind w:firstLine="720"/>
            </w:pPr>
            <w:r w:rsidRPr="001A7D1D">
              <w:t xml:space="preserve">         </w:t>
            </w:r>
            <w:r w:rsidR="00BD4DC0" w:rsidRPr="001A7D1D">
              <w:t>4.34</w:t>
            </w:r>
          </w:p>
        </w:tc>
        <w:tc>
          <w:tcPr>
            <w:tcW w:w="3117" w:type="dxa"/>
          </w:tcPr>
          <w:p w14:paraId="077957EA" w14:textId="287BF7E6" w:rsidR="00BD4DC0" w:rsidRPr="001A7D1D" w:rsidRDefault="00BD4DC0" w:rsidP="001A7D1D">
            <w:pPr>
              <w:tabs>
                <w:tab w:val="left" w:pos="720"/>
              </w:tabs>
              <w:spacing w:line="480" w:lineRule="auto"/>
              <w:jc w:val="center"/>
            </w:pPr>
            <w:r w:rsidRPr="001A7D1D">
              <w:t>0.62</w:t>
            </w:r>
          </w:p>
        </w:tc>
      </w:tr>
      <w:tr w:rsidR="00BD4DC0" w:rsidRPr="001A7D1D" w14:paraId="1FCBA49A" w14:textId="77777777" w:rsidTr="00BD4DC0">
        <w:tc>
          <w:tcPr>
            <w:tcW w:w="3116" w:type="dxa"/>
          </w:tcPr>
          <w:p w14:paraId="6D1DC038" w14:textId="25ABBEDA" w:rsidR="00BD4DC0" w:rsidRPr="001A7D1D" w:rsidRDefault="00BD4DC0" w:rsidP="001A7D1D">
            <w:pPr>
              <w:tabs>
                <w:tab w:val="left" w:pos="720"/>
              </w:tabs>
              <w:spacing w:line="480" w:lineRule="auto"/>
              <w:jc w:val="center"/>
            </w:pPr>
            <w:r w:rsidRPr="001A7D1D">
              <w:t>Intrinsic Cognitive Load</w:t>
            </w:r>
          </w:p>
        </w:tc>
        <w:tc>
          <w:tcPr>
            <w:tcW w:w="3117" w:type="dxa"/>
          </w:tcPr>
          <w:p w14:paraId="29641842" w14:textId="5DAD8CB6" w:rsidR="00BD4DC0" w:rsidRPr="001A7D1D" w:rsidRDefault="00BD4DC0" w:rsidP="001A7D1D">
            <w:pPr>
              <w:tabs>
                <w:tab w:val="left" w:pos="720"/>
              </w:tabs>
              <w:spacing w:line="480" w:lineRule="auto"/>
              <w:jc w:val="center"/>
            </w:pPr>
            <w:r w:rsidRPr="001A7D1D">
              <w:t>4.03</w:t>
            </w:r>
          </w:p>
        </w:tc>
        <w:tc>
          <w:tcPr>
            <w:tcW w:w="3117" w:type="dxa"/>
          </w:tcPr>
          <w:p w14:paraId="000375D2" w14:textId="204C4A85" w:rsidR="00BD4DC0" w:rsidRPr="001A7D1D" w:rsidRDefault="00BD4DC0" w:rsidP="001A7D1D">
            <w:pPr>
              <w:tabs>
                <w:tab w:val="left" w:pos="720"/>
              </w:tabs>
              <w:spacing w:line="480" w:lineRule="auto"/>
              <w:jc w:val="center"/>
            </w:pPr>
            <w:r w:rsidRPr="001A7D1D">
              <w:t>0.69</w:t>
            </w:r>
          </w:p>
        </w:tc>
      </w:tr>
      <w:tr w:rsidR="00BD4DC0" w:rsidRPr="001A7D1D" w14:paraId="09E44469" w14:textId="77777777" w:rsidTr="00BD4DC0">
        <w:trPr>
          <w:trHeight w:val="206"/>
        </w:trPr>
        <w:tc>
          <w:tcPr>
            <w:tcW w:w="3116" w:type="dxa"/>
          </w:tcPr>
          <w:p w14:paraId="62765AF9" w14:textId="407E48E1" w:rsidR="00BD4DC0" w:rsidRPr="001A7D1D" w:rsidRDefault="00BD4DC0" w:rsidP="001A7D1D">
            <w:pPr>
              <w:tabs>
                <w:tab w:val="left" w:pos="720"/>
              </w:tabs>
              <w:spacing w:line="480" w:lineRule="auto"/>
              <w:jc w:val="center"/>
            </w:pPr>
            <w:r w:rsidRPr="001A7D1D">
              <w:t>Germane Cognitive Load</w:t>
            </w:r>
          </w:p>
        </w:tc>
        <w:tc>
          <w:tcPr>
            <w:tcW w:w="3117" w:type="dxa"/>
          </w:tcPr>
          <w:p w14:paraId="718CDE81" w14:textId="40128628" w:rsidR="00BD4DC0" w:rsidRPr="001A7D1D" w:rsidRDefault="00BD4DC0" w:rsidP="001A7D1D">
            <w:pPr>
              <w:tabs>
                <w:tab w:val="left" w:pos="720"/>
              </w:tabs>
              <w:spacing w:line="480" w:lineRule="auto"/>
              <w:jc w:val="center"/>
            </w:pPr>
            <w:r w:rsidRPr="001A7D1D">
              <w:t>4.26</w:t>
            </w:r>
          </w:p>
        </w:tc>
        <w:tc>
          <w:tcPr>
            <w:tcW w:w="3117" w:type="dxa"/>
          </w:tcPr>
          <w:p w14:paraId="4440ED81" w14:textId="3A52AAB7" w:rsidR="00BD4DC0" w:rsidRPr="001A7D1D" w:rsidRDefault="003E68AF" w:rsidP="001A7D1D">
            <w:pPr>
              <w:tabs>
                <w:tab w:val="left" w:pos="720"/>
              </w:tabs>
              <w:spacing w:line="480" w:lineRule="auto"/>
              <w:ind w:firstLine="720"/>
            </w:pPr>
            <w:r w:rsidRPr="001A7D1D">
              <w:t xml:space="preserve">         </w:t>
            </w:r>
            <w:r w:rsidR="00BD4DC0" w:rsidRPr="001A7D1D">
              <w:t>0.63</w:t>
            </w:r>
          </w:p>
        </w:tc>
      </w:tr>
    </w:tbl>
    <w:p w14:paraId="55303117" w14:textId="2FA71D57" w:rsidR="004E5CC7" w:rsidRPr="001A7D1D" w:rsidRDefault="008F3035" w:rsidP="001A7D1D">
      <w:pPr>
        <w:tabs>
          <w:tab w:val="left" w:pos="720"/>
        </w:tabs>
        <w:spacing w:line="480" w:lineRule="auto"/>
        <w:ind w:firstLine="720"/>
        <w:jc w:val="both"/>
      </w:pPr>
      <w:r w:rsidRPr="001A7D1D">
        <w:t>Table 3 shows the descriptive statistics for the three dimensions of cognitive load that the participants reported after the eight-week intervention. The extraneous cognitive load had the highest mean score (M = 4.34, SD = 0.62), indicating that the participants found ChatGPT-assisted pre-listening activities helpful in reducing unnecessary cognitive demands during listening. Intrinsic cognitive load had a mean score of 4.03 (SD = 0.69). This shows that the participants found the difficulty of the listening tasks manageable. Germane cognitive load received a relatively high mean score (M = 4.26, SD = 0.63), showing that the activities boosted the participants’ engagement in processing and learning the listening materials. The findings reveal that the participants considered the ChatGPT-assisted pre-listening activities supportive in managing cognitive load.</w:t>
      </w:r>
    </w:p>
    <w:p w14:paraId="0325D6CE" w14:textId="77777777" w:rsidR="00954693" w:rsidRPr="001A7D1D" w:rsidRDefault="00954693" w:rsidP="001A7D1D">
      <w:pPr>
        <w:pStyle w:val="ListParagraph"/>
        <w:numPr>
          <w:ilvl w:val="1"/>
          <w:numId w:val="4"/>
        </w:numPr>
        <w:spacing w:line="480" w:lineRule="auto"/>
        <w:ind w:left="360"/>
        <w:jc w:val="both"/>
        <w:rPr>
          <w:b/>
          <w:bCs/>
        </w:rPr>
      </w:pPr>
      <w:r w:rsidRPr="001A7D1D">
        <w:rPr>
          <w:b/>
          <w:bCs/>
        </w:rPr>
        <w:t xml:space="preserve"> </w:t>
      </w:r>
      <w:r w:rsidR="008F3035" w:rsidRPr="001A7D1D">
        <w:rPr>
          <w:b/>
          <w:bCs/>
        </w:rPr>
        <w:t>Students’ Experiences with ChatGPT-Assisted Pre-Listening Activities</w:t>
      </w:r>
    </w:p>
    <w:p w14:paraId="68CD93E2" w14:textId="30BAA3AC" w:rsidR="00954693" w:rsidRPr="001A7D1D" w:rsidRDefault="00954693" w:rsidP="001A7D1D">
      <w:pPr>
        <w:spacing w:line="480" w:lineRule="auto"/>
        <w:ind w:firstLine="720"/>
        <w:jc w:val="both"/>
        <w:rPr>
          <w:b/>
          <w:bCs/>
        </w:rPr>
      </w:pPr>
      <w:r w:rsidRPr="001A7D1D">
        <w:rPr>
          <w:b/>
          <w:bCs/>
        </w:rPr>
        <w:t xml:space="preserve">Improved Listening Strategies. </w:t>
      </w:r>
      <w:r w:rsidRPr="001A7D1D">
        <w:t xml:space="preserve">This was the prominent theme that emerged from the interviews with the participants. Some reported that the pre-listening activities made them change from trying to understand every word to focusing on key words, main ideas, and relevant information. The prediction questions helped them identify the information they needed to look </w:t>
      </w:r>
      <w:r w:rsidRPr="001A7D1D">
        <w:lastRenderedPageBreak/>
        <w:t>for during listening. For example, I1 and I6 shared the same view that the prediction questions helped them know what information they needed to look for in the listening. Thus, they developed a strategy of focusing only on the main keywords instead of trying to listen to every single word. The interviews also revealed that the activities helped the participants develop a habit of preparing before they did the listening tasks. I4 said: “Before, I just focused on listening, but now, before listening, I make predictions and try to understand the vocabulary first. This makes the listening clearer and easier to understand.”</w:t>
      </w:r>
    </w:p>
    <w:p w14:paraId="31AF34F8" w14:textId="77777777" w:rsidR="00954693" w:rsidRPr="001A7D1D" w:rsidRDefault="00954693" w:rsidP="001A7D1D">
      <w:pPr>
        <w:tabs>
          <w:tab w:val="left" w:pos="720"/>
        </w:tabs>
        <w:spacing w:line="480" w:lineRule="auto"/>
        <w:ind w:firstLine="720"/>
        <w:jc w:val="both"/>
        <w:rPr>
          <w:b/>
          <w:bCs/>
        </w:rPr>
      </w:pPr>
      <w:r w:rsidRPr="001A7D1D">
        <w:rPr>
          <w:b/>
          <w:bCs/>
        </w:rPr>
        <w:t xml:space="preserve">Greater Confidence. </w:t>
      </w:r>
      <w:r w:rsidRPr="001A7D1D">
        <w:t>This theme concerned the increase in the participants’ confidence when they were engaged in the listening tasks. Several students shared that the activities helped them better prepare and feel more confident when they began to listen. I2 acknowledged that her listening skills had improved thanks to the vocabulary explanations, content summaries, and prediction questions, so she could understand the listening more quickly and feel more confident. Interestingly, I9 stated that she could learn vocabulary and ways of expressing ideas, so she felt more confident and was no longer afraid of listening tasks. Meanwhile, I7 described feeling less overwhelmed when the listening began: “I improved a lot. After eight weeks, I feel more confident and less stressed when listening. My listening skills are much better, and I can easily keep up with the speed and catch the main points.”</w:t>
      </w:r>
    </w:p>
    <w:p w14:paraId="3116DEF0" w14:textId="77777777" w:rsidR="00954693" w:rsidRPr="001A7D1D" w:rsidRDefault="00954693" w:rsidP="001A7D1D">
      <w:pPr>
        <w:tabs>
          <w:tab w:val="left" w:pos="720"/>
        </w:tabs>
        <w:spacing w:line="480" w:lineRule="auto"/>
        <w:ind w:firstLine="720"/>
        <w:jc w:val="both"/>
        <w:rPr>
          <w:b/>
          <w:bCs/>
        </w:rPr>
      </w:pPr>
      <w:r w:rsidRPr="001A7D1D">
        <w:rPr>
          <w:b/>
          <w:bCs/>
        </w:rPr>
        <w:t xml:space="preserve">Reduced Listening Anxiety. </w:t>
      </w:r>
      <w:r w:rsidRPr="001A7D1D">
        <w:t xml:space="preserve">This theme was related to the participants’ experiences before and during the listening process. The participants described experiencing less confusion and nervousness because the key vocabulary and general content had been introduced to them. I1 reported that he felt less pressure and considered the pre-listening activities as a warm-up, so he had already prepared himself mentally. The participants also suggested that they could maintain their concentration during listening. For instance, I10 explained: “The preparation has helped me </w:t>
      </w:r>
      <w:r w:rsidRPr="001A7D1D">
        <w:lastRenderedPageBreak/>
        <w:t>reduce the pressure a lot. I no longer have to stop to translate every new word, so I can maintain my concentration and follow the flow of the listening passage.” Besides, I9 shared that before the intervention, she encountered unfamiliar vocabulary and fast speech, so she seemed to lose concentration and miss important information. Thanks to the pre-listening support, she could prepare better and maintain good focus.</w:t>
      </w:r>
    </w:p>
    <w:p w14:paraId="7330A61E" w14:textId="09A778FA" w:rsidR="00A54317" w:rsidRPr="001A7D1D" w:rsidRDefault="00A54317" w:rsidP="001A7D1D">
      <w:pPr>
        <w:pStyle w:val="ListParagraph"/>
        <w:numPr>
          <w:ilvl w:val="0"/>
          <w:numId w:val="4"/>
        </w:numPr>
        <w:spacing w:line="480" w:lineRule="auto"/>
        <w:ind w:left="360"/>
        <w:jc w:val="center"/>
        <w:rPr>
          <w:b/>
          <w:bCs/>
        </w:rPr>
      </w:pPr>
      <w:r w:rsidRPr="001A7D1D">
        <w:rPr>
          <w:b/>
          <w:bCs/>
        </w:rPr>
        <w:t>Discussion</w:t>
      </w:r>
    </w:p>
    <w:p w14:paraId="0F98FFD7" w14:textId="54A310CF" w:rsidR="00A54317" w:rsidRPr="001A7D1D" w:rsidRDefault="0007259D" w:rsidP="001A7D1D">
      <w:pPr>
        <w:pStyle w:val="ListParagraph"/>
        <w:numPr>
          <w:ilvl w:val="1"/>
          <w:numId w:val="4"/>
        </w:numPr>
        <w:spacing w:line="480" w:lineRule="auto"/>
        <w:ind w:left="360"/>
        <w:jc w:val="both"/>
        <w:rPr>
          <w:b/>
          <w:bCs/>
        </w:rPr>
      </w:pPr>
      <w:r w:rsidRPr="001A7D1D">
        <w:rPr>
          <w:b/>
          <w:bCs/>
        </w:rPr>
        <w:t xml:space="preserve"> </w:t>
      </w:r>
      <w:r w:rsidR="00A54317" w:rsidRPr="001A7D1D">
        <w:rPr>
          <w:b/>
          <w:bCs/>
        </w:rPr>
        <w:t>Effects of ChatGPT-Assisted Pre-Listening Activities on Listening Comprehension</w:t>
      </w:r>
    </w:p>
    <w:p w14:paraId="5797021B" w14:textId="15C143E9" w:rsidR="00A54317" w:rsidRPr="001A7D1D" w:rsidRDefault="0007259D" w:rsidP="001A7D1D">
      <w:pPr>
        <w:tabs>
          <w:tab w:val="left" w:pos="720"/>
        </w:tabs>
        <w:spacing w:line="480" w:lineRule="auto"/>
        <w:jc w:val="both"/>
      </w:pPr>
      <w:r w:rsidRPr="001A7D1D">
        <w:tab/>
      </w:r>
      <w:r w:rsidR="00441172" w:rsidRPr="001A7D1D">
        <w:t xml:space="preserve">The findings show that ChatGPT-assisted pre-listening activities can help develop the participants’ listening comprehension. Their mean score increased from 11.68 in the pre-test to 16.45 in the post-test, with a statistically significant difference between the two tests, </w:t>
      </w:r>
      <w:proofErr w:type="gramStart"/>
      <w:r w:rsidR="00441172" w:rsidRPr="001A7D1D">
        <w:rPr>
          <w:i/>
          <w:iCs/>
        </w:rPr>
        <w:t>t</w:t>
      </w:r>
      <w:r w:rsidR="00441172" w:rsidRPr="001A7D1D">
        <w:t>(</w:t>
      </w:r>
      <w:proofErr w:type="gramEnd"/>
      <w:r w:rsidR="00441172" w:rsidRPr="001A7D1D">
        <w:t xml:space="preserve">37) = −7.856, </w:t>
      </w:r>
      <w:r w:rsidR="00441172" w:rsidRPr="001A7D1D">
        <w:rPr>
          <w:i/>
          <w:iCs/>
        </w:rPr>
        <w:t>p</w:t>
      </w:r>
      <w:r w:rsidR="00441172" w:rsidRPr="001A7D1D">
        <w:t xml:space="preserve"> &lt; .001. Although the one-group pre-test–post-test design does not allow the improvement to be exclusively attributed to the intervention, the findings indicate that there was a positive change after the eight-week intervention. This finding is consistent with previous research showing that pre-listening activities can prepare students by activating their knowledge, introducing vocabulary, and encouraging them to anticipate the content (Vandergrift, 2003; Vandergrift &amp; </w:t>
      </w:r>
      <w:proofErr w:type="spellStart"/>
      <w:r w:rsidR="00441172" w:rsidRPr="001A7D1D">
        <w:t>Tafaghodtari</w:t>
      </w:r>
      <w:proofErr w:type="spellEnd"/>
      <w:r w:rsidR="00441172" w:rsidRPr="001A7D1D">
        <w:t xml:space="preserve">, 2010). Chang (2007) also found that vocabulary preparation could support aspects of learners’ confidence and strategy use in listening, while Madani and </w:t>
      </w:r>
      <w:proofErr w:type="spellStart"/>
      <w:r w:rsidR="00441172" w:rsidRPr="001A7D1D">
        <w:t>Kheirzadeh</w:t>
      </w:r>
      <w:proofErr w:type="spellEnd"/>
      <w:r w:rsidR="00441172" w:rsidRPr="001A7D1D">
        <w:t xml:space="preserve"> (20</w:t>
      </w:r>
      <w:r w:rsidR="003A7B46">
        <w:t>22</w:t>
      </w:r>
      <w:r w:rsidR="00441172" w:rsidRPr="001A7D1D">
        <w:t>) reported that different pre-listening activities, such as vocabulary preparation and question-based activities, can support listening comprehension.</w:t>
      </w:r>
    </w:p>
    <w:p w14:paraId="5E7A8A2A" w14:textId="1A7AD965" w:rsidR="00A02278" w:rsidRPr="001A7D1D" w:rsidRDefault="0007259D" w:rsidP="001A7D1D">
      <w:pPr>
        <w:pStyle w:val="ListParagraph"/>
        <w:numPr>
          <w:ilvl w:val="1"/>
          <w:numId w:val="4"/>
        </w:numPr>
        <w:spacing w:line="480" w:lineRule="auto"/>
        <w:ind w:left="360"/>
        <w:jc w:val="both"/>
        <w:rPr>
          <w:b/>
          <w:bCs/>
        </w:rPr>
      </w:pPr>
      <w:r w:rsidRPr="001A7D1D">
        <w:rPr>
          <w:b/>
          <w:bCs/>
        </w:rPr>
        <w:t xml:space="preserve"> </w:t>
      </w:r>
      <w:r w:rsidR="00A02278" w:rsidRPr="001A7D1D">
        <w:rPr>
          <w:b/>
          <w:bCs/>
        </w:rPr>
        <w:t>Participants’ Perceptions of Cognitive Load</w:t>
      </w:r>
    </w:p>
    <w:p w14:paraId="2F855B54" w14:textId="06ADB399" w:rsidR="00A02278" w:rsidRPr="001A7D1D" w:rsidRDefault="0007259D" w:rsidP="001A7D1D">
      <w:pPr>
        <w:tabs>
          <w:tab w:val="left" w:pos="720"/>
        </w:tabs>
        <w:spacing w:line="480" w:lineRule="auto"/>
        <w:jc w:val="both"/>
      </w:pPr>
      <w:r w:rsidRPr="001A7D1D">
        <w:rPr>
          <w:b/>
          <w:bCs/>
        </w:rPr>
        <w:tab/>
      </w:r>
      <w:r w:rsidR="00B63921" w:rsidRPr="001A7D1D">
        <w:rPr>
          <w:b/>
          <w:bCs/>
        </w:rPr>
        <w:t xml:space="preserve">Extraneous Cognitive Load. </w:t>
      </w:r>
      <w:r w:rsidR="00B63921" w:rsidRPr="001A7D1D">
        <w:t>The high rating for the reduction in extraneous cognitive load (</w:t>
      </w:r>
      <w:r w:rsidR="00B63921" w:rsidRPr="001A7D1D">
        <w:rPr>
          <w:i/>
          <w:iCs/>
        </w:rPr>
        <w:t>M</w:t>
      </w:r>
      <w:r w:rsidR="00B63921" w:rsidRPr="001A7D1D">
        <w:t xml:space="preserve"> = 4.34, </w:t>
      </w:r>
      <w:r w:rsidR="00B63921" w:rsidRPr="001A7D1D">
        <w:rPr>
          <w:i/>
          <w:iCs/>
        </w:rPr>
        <w:t>SD</w:t>
      </w:r>
      <w:r w:rsidR="00B63921" w:rsidRPr="001A7D1D">
        <w:t xml:space="preserve"> = 0.62) shows that participants found the ChatGPT-assisted pre-listening activities helpful because these activities helped reduce unnecessary cognitive demands during </w:t>
      </w:r>
      <w:r w:rsidR="00B63921" w:rsidRPr="001A7D1D">
        <w:lastRenderedPageBreak/>
        <w:t>listening. This is consistent with Cognitive Load Theory (CLT), which emphasizes minimizing processing demands that indirectly contribute to learning (</w:t>
      </w:r>
      <w:proofErr w:type="spellStart"/>
      <w:r w:rsidR="00B63921" w:rsidRPr="001A7D1D">
        <w:t>Sweller</w:t>
      </w:r>
      <w:proofErr w:type="spellEnd"/>
      <w:r w:rsidR="00B63921" w:rsidRPr="001A7D1D">
        <w:t>, 1988). It is also consistent with findings by Roussel et al. (2022) regarding the importance of managing cognitive load during L2 listening. As a result, participants reported that they felt less confused, pressured, or overwhelmed during listening.</w:t>
      </w:r>
    </w:p>
    <w:p w14:paraId="3FD23F26" w14:textId="721EB215" w:rsidR="00867C0F" w:rsidRPr="001A7D1D" w:rsidRDefault="0007259D" w:rsidP="001A7D1D">
      <w:pPr>
        <w:tabs>
          <w:tab w:val="left" w:pos="720"/>
        </w:tabs>
        <w:spacing w:line="480" w:lineRule="auto"/>
        <w:jc w:val="both"/>
      </w:pPr>
      <w:r w:rsidRPr="001A7D1D">
        <w:rPr>
          <w:b/>
          <w:bCs/>
        </w:rPr>
        <w:tab/>
      </w:r>
      <w:r w:rsidR="00867C0F" w:rsidRPr="001A7D1D">
        <w:rPr>
          <w:b/>
          <w:bCs/>
        </w:rPr>
        <w:t>I</w:t>
      </w:r>
      <w:r w:rsidR="00867C0F" w:rsidRPr="001A7D1D">
        <w:rPr>
          <w:b/>
          <w:bCs/>
        </w:rPr>
        <w:t xml:space="preserve">ntrinsic Cognitive Load. </w:t>
      </w:r>
      <w:r w:rsidR="00867C0F" w:rsidRPr="001A7D1D">
        <w:t>The rating for intrinsic cognitive load (M = 4.03, SD = 0.69) was relatively high, which show</w:t>
      </w:r>
      <w:r w:rsidRPr="001A7D1D">
        <w:t>s</w:t>
      </w:r>
      <w:r w:rsidR="00867C0F" w:rsidRPr="001A7D1D">
        <w:t xml:space="preserve"> that participants perceived the difficulty of the listening tasks as manageable. This finding </w:t>
      </w:r>
      <w:r w:rsidR="00E602F4">
        <w:t>shows</w:t>
      </w:r>
      <w:r w:rsidR="00867C0F" w:rsidRPr="001A7D1D">
        <w:t xml:space="preserve"> </w:t>
      </w:r>
      <w:r w:rsidRPr="001A7D1D">
        <w:t xml:space="preserve">a positive </w:t>
      </w:r>
      <w:r w:rsidR="00867C0F" w:rsidRPr="001A7D1D">
        <w:t>result of the pre-listening vocabulary explanations and content summaries, which helped participants become more familiar with the language and context of the listening task, in line with Cognitive Load Theory (</w:t>
      </w:r>
      <w:proofErr w:type="spellStart"/>
      <w:r w:rsidR="00867C0F" w:rsidRPr="001A7D1D">
        <w:t>Sweller</w:t>
      </w:r>
      <w:proofErr w:type="spellEnd"/>
      <w:r w:rsidR="00867C0F" w:rsidRPr="001A7D1D">
        <w:t>, 1988; Plass et al., 2010).</w:t>
      </w:r>
    </w:p>
    <w:p w14:paraId="081E164E" w14:textId="1530AC4A" w:rsidR="00760F54" w:rsidRPr="001A7D1D" w:rsidRDefault="0007259D" w:rsidP="001A7D1D">
      <w:pPr>
        <w:tabs>
          <w:tab w:val="left" w:pos="720"/>
        </w:tabs>
        <w:spacing w:line="480" w:lineRule="auto"/>
        <w:jc w:val="both"/>
        <w:rPr>
          <w:b/>
          <w:bCs/>
        </w:rPr>
      </w:pPr>
      <w:r w:rsidRPr="001A7D1D">
        <w:rPr>
          <w:b/>
          <w:bCs/>
        </w:rPr>
        <w:tab/>
      </w:r>
      <w:r w:rsidR="00760F54" w:rsidRPr="001A7D1D">
        <w:rPr>
          <w:b/>
          <w:bCs/>
        </w:rPr>
        <w:t>Germane Cognitive Load</w:t>
      </w:r>
      <w:r w:rsidR="00760F54" w:rsidRPr="001A7D1D">
        <w:rPr>
          <w:b/>
          <w:bCs/>
        </w:rPr>
        <w:t xml:space="preserve">. </w:t>
      </w:r>
      <w:r w:rsidR="00760F54" w:rsidRPr="001A7D1D">
        <w:t xml:space="preserve">Like intrinsic cognitive load, the rating for germane cognitive load </w:t>
      </w:r>
      <w:r w:rsidRPr="001A7D1D">
        <w:t>was</w:t>
      </w:r>
      <w:r w:rsidR="00760F54" w:rsidRPr="001A7D1D">
        <w:t xml:space="preserve"> also relatively high </w:t>
      </w:r>
      <w:r w:rsidR="00760F54" w:rsidRPr="001A7D1D">
        <w:t>(</w:t>
      </w:r>
      <w:r w:rsidR="00760F54" w:rsidRPr="001A7D1D">
        <w:rPr>
          <w:i/>
          <w:iCs/>
        </w:rPr>
        <w:t>M</w:t>
      </w:r>
      <w:r w:rsidR="00760F54" w:rsidRPr="001A7D1D">
        <w:t xml:space="preserve"> = 4.26, </w:t>
      </w:r>
      <w:r w:rsidR="00760F54" w:rsidRPr="001A7D1D">
        <w:rPr>
          <w:i/>
          <w:iCs/>
        </w:rPr>
        <w:t>SD</w:t>
      </w:r>
      <w:r w:rsidR="00760F54" w:rsidRPr="001A7D1D">
        <w:t xml:space="preserve"> = 0.63)</w:t>
      </w:r>
      <w:r w:rsidR="00760F54" w:rsidRPr="001A7D1D">
        <w:t xml:space="preserve">. This </w:t>
      </w:r>
      <w:r w:rsidRPr="001A7D1D">
        <w:t>suggests</w:t>
      </w:r>
      <w:r w:rsidR="00760F54" w:rsidRPr="001A7D1D">
        <w:t xml:space="preserve"> that the activities foster</w:t>
      </w:r>
      <w:r w:rsidR="00BE62D8" w:rsidRPr="001A7D1D">
        <w:t>ed</w:t>
      </w:r>
      <w:r w:rsidR="00760F54" w:rsidRPr="001A7D1D">
        <w:t xml:space="preserve"> the participants’ active engagement </w:t>
      </w:r>
      <w:r w:rsidR="00BE62D8" w:rsidRPr="001A7D1D">
        <w:t>with</w:t>
      </w:r>
      <w:r w:rsidR="00760F54" w:rsidRPr="001A7D1D">
        <w:t xml:space="preserve"> the listening materials, so this</w:t>
      </w:r>
      <w:r w:rsidR="00E602F4">
        <w:t xml:space="preserve"> is consistent </w:t>
      </w:r>
      <w:r w:rsidR="00760F54" w:rsidRPr="001A7D1D">
        <w:t xml:space="preserve">with the research by </w:t>
      </w:r>
      <w:proofErr w:type="spellStart"/>
      <w:r w:rsidR="00760F54" w:rsidRPr="001A7D1D">
        <w:t>Sweller</w:t>
      </w:r>
      <w:proofErr w:type="spellEnd"/>
      <w:r w:rsidR="00760F54" w:rsidRPr="001A7D1D">
        <w:t xml:space="preserve"> (</w:t>
      </w:r>
      <w:r w:rsidR="00760F54" w:rsidRPr="001A7D1D">
        <w:t>1988</w:t>
      </w:r>
      <w:r w:rsidR="00760F54" w:rsidRPr="001A7D1D">
        <w:t xml:space="preserve">) and </w:t>
      </w:r>
      <w:r w:rsidR="00760F54" w:rsidRPr="001A7D1D">
        <w:t xml:space="preserve">Paas et al. </w:t>
      </w:r>
      <w:r w:rsidR="00760F54" w:rsidRPr="001A7D1D">
        <w:t>(</w:t>
      </w:r>
      <w:r w:rsidR="00760F54" w:rsidRPr="001A7D1D">
        <w:t>2003</w:t>
      </w:r>
      <w:r w:rsidR="00760F54" w:rsidRPr="001A7D1D">
        <w:t xml:space="preserve">). Notably, the prediction questions could encourage the participants to focus on relevant information so that they can apply listening strategies </w:t>
      </w:r>
      <w:r w:rsidR="00BE62D8" w:rsidRPr="001A7D1D">
        <w:t>for</w:t>
      </w:r>
      <w:r w:rsidR="00760F54" w:rsidRPr="001A7D1D">
        <w:t xml:space="preserve"> their own purpose</w:t>
      </w:r>
      <w:r w:rsidR="00BE62D8" w:rsidRPr="001A7D1D">
        <w:t>s</w:t>
      </w:r>
      <w:r w:rsidR="00760F54" w:rsidRPr="001A7D1D">
        <w:t xml:space="preserve">. </w:t>
      </w:r>
    </w:p>
    <w:p w14:paraId="7F49B9BF" w14:textId="55E408C3" w:rsidR="00867C0F" w:rsidRPr="001A7D1D" w:rsidRDefault="0007259D" w:rsidP="001A7D1D">
      <w:pPr>
        <w:pStyle w:val="ListParagraph"/>
        <w:numPr>
          <w:ilvl w:val="1"/>
          <w:numId w:val="4"/>
        </w:numPr>
        <w:spacing w:line="480" w:lineRule="auto"/>
        <w:ind w:left="360"/>
        <w:jc w:val="both"/>
        <w:rPr>
          <w:b/>
          <w:bCs/>
        </w:rPr>
      </w:pPr>
      <w:r w:rsidRPr="001A7D1D">
        <w:rPr>
          <w:b/>
          <w:bCs/>
        </w:rPr>
        <w:t xml:space="preserve"> </w:t>
      </w:r>
      <w:r w:rsidR="00B323DF" w:rsidRPr="001A7D1D">
        <w:rPr>
          <w:b/>
          <w:bCs/>
        </w:rPr>
        <w:t>Qualitative Findings</w:t>
      </w:r>
    </w:p>
    <w:p w14:paraId="5DD54909" w14:textId="5EB00863" w:rsidR="007614D1" w:rsidRPr="001A7D1D" w:rsidRDefault="0007259D" w:rsidP="001A7D1D">
      <w:pPr>
        <w:tabs>
          <w:tab w:val="left" w:pos="720"/>
        </w:tabs>
        <w:spacing w:line="480" w:lineRule="auto"/>
        <w:jc w:val="both"/>
      </w:pPr>
      <w:r w:rsidRPr="001A7D1D">
        <w:rPr>
          <w:b/>
          <w:bCs/>
        </w:rPr>
        <w:tab/>
      </w:r>
      <w:r w:rsidR="007614D1" w:rsidRPr="001A7D1D">
        <w:rPr>
          <w:b/>
          <w:bCs/>
        </w:rPr>
        <w:t xml:space="preserve">Improved Listening Strategies. </w:t>
      </w:r>
      <w:r w:rsidR="00D60437" w:rsidRPr="001A7D1D">
        <w:t>The interview findings reveal</w:t>
      </w:r>
      <w:r w:rsidR="00BE62D8" w:rsidRPr="001A7D1D">
        <w:t>ed</w:t>
      </w:r>
      <w:r w:rsidR="00D60437" w:rsidRPr="001A7D1D">
        <w:t xml:space="preserve"> that ChatGPT-assisted pre-listening activities helped participants use listening strategies purposefully. In particular, prediction questions encouraged them to anticipate relevant information, and they also focus</w:t>
      </w:r>
      <w:r w:rsidR="00BE62D8" w:rsidRPr="001A7D1D">
        <w:t>ed</w:t>
      </w:r>
      <w:r w:rsidR="00D60437" w:rsidRPr="001A7D1D">
        <w:t xml:space="preserve"> on keyword</w:t>
      </w:r>
      <w:r w:rsidR="00BE62D8" w:rsidRPr="001A7D1D">
        <w:t>s</w:t>
      </w:r>
      <w:r w:rsidR="00D60437" w:rsidRPr="001A7D1D">
        <w:t xml:space="preserve">. Thus, this prevented them from trying to understand every single word in the listening input. This finding is consistent with Vandergrift and </w:t>
      </w:r>
      <w:proofErr w:type="spellStart"/>
      <w:r w:rsidR="00D60437" w:rsidRPr="001A7D1D">
        <w:t>Tafaghodtari</w:t>
      </w:r>
      <w:proofErr w:type="spellEnd"/>
      <w:r w:rsidR="00D60437" w:rsidRPr="001A7D1D">
        <w:t xml:space="preserve"> (2010), who highlighted the </w:t>
      </w:r>
      <w:r w:rsidR="00D60437" w:rsidRPr="001A7D1D">
        <w:lastRenderedPageBreak/>
        <w:t xml:space="preserve">importance of strategic processing in L2 listening. </w:t>
      </w:r>
      <w:r w:rsidR="00BE62D8" w:rsidRPr="001A7D1D">
        <w:t>Overall</w:t>
      </w:r>
      <w:r w:rsidR="00D60437" w:rsidRPr="001A7D1D">
        <w:t>, participants shifted from passive listening to a more selective, goal-oriented approach when processing listening input.</w:t>
      </w:r>
    </w:p>
    <w:p w14:paraId="34925AF6" w14:textId="166A8E96" w:rsidR="00D60437" w:rsidRPr="001A7D1D" w:rsidRDefault="0007259D" w:rsidP="001A7D1D">
      <w:pPr>
        <w:tabs>
          <w:tab w:val="left" w:pos="720"/>
        </w:tabs>
        <w:spacing w:line="480" w:lineRule="auto"/>
        <w:jc w:val="both"/>
        <w:rPr>
          <w:b/>
          <w:bCs/>
        </w:rPr>
      </w:pPr>
      <w:r w:rsidRPr="001A7D1D">
        <w:rPr>
          <w:b/>
          <w:bCs/>
        </w:rPr>
        <w:tab/>
      </w:r>
      <w:r w:rsidR="00D60437" w:rsidRPr="001A7D1D">
        <w:rPr>
          <w:b/>
          <w:bCs/>
        </w:rPr>
        <w:t>Greater Confidence</w:t>
      </w:r>
      <w:r w:rsidR="00D60437" w:rsidRPr="001A7D1D">
        <w:rPr>
          <w:b/>
          <w:bCs/>
        </w:rPr>
        <w:t xml:space="preserve">. </w:t>
      </w:r>
      <w:r w:rsidR="00087907" w:rsidRPr="001A7D1D">
        <w:t>The interviews also revealed that participants became more confident when engaging in listening tasks. Pre-listening preparation helped them feel better prepared by providing vocabulary explanations, content summaries, and prediction questions. This finding aligns with Chang (2007), who found that vocabulary support can increase students’ confidence in L2 listening. It is also consistent with Tran (2024), who reported that pre-listening activities help build learners’ confidence, activate background knowledge, and facilitate listening comprehension. This suggests that familiarity with vocabulary and context enables learners to approach listening tasks with greater confidence.</w:t>
      </w:r>
      <w:r w:rsidR="00D60437" w:rsidRPr="001A7D1D">
        <w:rPr>
          <w:b/>
          <w:bCs/>
        </w:rPr>
        <w:t xml:space="preserve"> </w:t>
      </w:r>
    </w:p>
    <w:p w14:paraId="313648A9" w14:textId="33A926F4" w:rsidR="000364BC" w:rsidRPr="001A7D1D" w:rsidRDefault="0007259D" w:rsidP="001A7D1D">
      <w:pPr>
        <w:tabs>
          <w:tab w:val="left" w:pos="720"/>
        </w:tabs>
        <w:spacing w:line="480" w:lineRule="auto"/>
        <w:jc w:val="both"/>
      </w:pPr>
      <w:r w:rsidRPr="001A7D1D">
        <w:rPr>
          <w:b/>
          <w:bCs/>
        </w:rPr>
        <w:tab/>
      </w:r>
      <w:r w:rsidR="0011001D" w:rsidRPr="001A7D1D">
        <w:rPr>
          <w:b/>
          <w:bCs/>
        </w:rPr>
        <w:t>Reduced Listening Anxiety</w:t>
      </w:r>
      <w:r w:rsidR="0011001D" w:rsidRPr="001A7D1D">
        <w:rPr>
          <w:b/>
          <w:bCs/>
        </w:rPr>
        <w:t>.</w:t>
      </w:r>
      <w:r w:rsidR="00527AD4">
        <w:t xml:space="preserve"> </w:t>
      </w:r>
      <w:r w:rsidR="000364BC" w:rsidRPr="001A7D1D">
        <w:t>The final emerging theme from the interviews was the reduction of listening anxiety. Participants reported that they felt less nervous, anxious, and overwhelmed during listening, for they had been prepared in advance. This finding can be explained by the role of pre-listening activities in making listening tasks more manageable and reducing unnecessary processing demands (</w:t>
      </w:r>
      <w:proofErr w:type="spellStart"/>
      <w:r w:rsidR="000364BC" w:rsidRPr="001A7D1D">
        <w:t>Sweller</w:t>
      </w:r>
      <w:proofErr w:type="spellEnd"/>
      <w:r w:rsidR="000364BC" w:rsidRPr="001A7D1D">
        <w:t>, 1988; Roussel et al., 2022). Hence, these qualitative interview findings complement the quantitative results, which indicate that ChatGPT-assisted pre-listening activities support learners both cognitively and affectively by creating a more comfortable listening experience.</w:t>
      </w:r>
    </w:p>
    <w:p w14:paraId="352E34AD" w14:textId="7799817F" w:rsidR="000364BC" w:rsidRPr="001A7D1D" w:rsidRDefault="000364BC" w:rsidP="001A7D1D">
      <w:pPr>
        <w:pStyle w:val="ListParagraph"/>
        <w:numPr>
          <w:ilvl w:val="0"/>
          <w:numId w:val="4"/>
        </w:numPr>
        <w:tabs>
          <w:tab w:val="left" w:pos="720"/>
        </w:tabs>
        <w:spacing w:line="480" w:lineRule="auto"/>
        <w:jc w:val="center"/>
        <w:rPr>
          <w:b/>
          <w:bCs/>
        </w:rPr>
      </w:pPr>
      <w:r w:rsidRPr="001A7D1D">
        <w:rPr>
          <w:b/>
          <w:bCs/>
        </w:rPr>
        <w:t>Conclusion</w:t>
      </w:r>
    </w:p>
    <w:p w14:paraId="13E015CC" w14:textId="12162BC3" w:rsidR="000364BC" w:rsidRPr="001A7D1D" w:rsidRDefault="00A053A1" w:rsidP="001A7D1D">
      <w:pPr>
        <w:tabs>
          <w:tab w:val="left" w:pos="720"/>
        </w:tabs>
        <w:spacing w:line="480" w:lineRule="auto"/>
        <w:jc w:val="both"/>
      </w:pPr>
      <w:r w:rsidRPr="001A7D1D">
        <w:tab/>
      </w:r>
      <w:r w:rsidR="00B16663" w:rsidRPr="001A7D1D">
        <w:t xml:space="preserve">This study examined the effects of ChatGPT-assisted pre-listening activities on listening comprehension and perceived cognitive load among non-English-major students. The findings showed that the students’ listening comprehension improved significantly after the eight-week intervention. The questionnaire findings indicated that the learners perceived the activities as </w:t>
      </w:r>
      <w:r w:rsidR="00B16663" w:rsidRPr="001A7D1D">
        <w:lastRenderedPageBreak/>
        <w:t>supportive in managing the cognitive demands of listening tasks. The interview findings revealed that the students gained three main benefits: an improvement in listening strategies, greater confidence, and reduced listening anxiety.</w:t>
      </w:r>
    </w:p>
    <w:p w14:paraId="1B481DBF" w14:textId="5709E50A" w:rsidR="00AB6766" w:rsidRPr="001A7D1D" w:rsidRDefault="00A053A1" w:rsidP="001A7D1D">
      <w:pPr>
        <w:tabs>
          <w:tab w:val="left" w:pos="720"/>
        </w:tabs>
        <w:spacing w:line="480" w:lineRule="auto"/>
        <w:jc w:val="both"/>
      </w:pPr>
      <w:r w:rsidRPr="001A7D1D">
        <w:tab/>
      </w:r>
      <w:r w:rsidR="00AB6766" w:rsidRPr="001A7D1D">
        <w:t>However, this study has some limitations. First, the study only employed a one-group pretest–posttest design without a control group, so observed improvements cannot be attributed exclusively to the intervention. Furthermore, it involved a relatively small sample of non-English majors, so this limits the generalizability of the findings. Finally, cognitive load was assessed solely through learners’ self-reported perceptions rather than objective measures.</w:t>
      </w:r>
    </w:p>
    <w:p w14:paraId="3A0C284E" w14:textId="31A48CDF" w:rsidR="00AB6766" w:rsidRPr="001A7D1D" w:rsidRDefault="00A053A1" w:rsidP="001A7D1D">
      <w:pPr>
        <w:tabs>
          <w:tab w:val="left" w:pos="720"/>
        </w:tabs>
        <w:spacing w:line="480" w:lineRule="auto"/>
        <w:jc w:val="both"/>
      </w:pPr>
      <w:r w:rsidRPr="001A7D1D">
        <w:tab/>
      </w:r>
      <w:r w:rsidR="00AB6766" w:rsidRPr="001A7D1D">
        <w:t>Future research could address these limitations by using controlled and randomized designs, employing larger sample sizes, and applying objective measures of cognitive load. Additionally, future studies are suggested to compare different types of AI-assisted pre-listening activities to determine which forms of support are most effective for specific aspects of L2 listening.</w:t>
      </w:r>
    </w:p>
    <w:p w14:paraId="0C676009" w14:textId="77777777" w:rsidR="00A053A1" w:rsidRPr="001A7D1D" w:rsidRDefault="00A053A1" w:rsidP="001A7D1D">
      <w:pPr>
        <w:tabs>
          <w:tab w:val="left" w:pos="720"/>
        </w:tabs>
        <w:jc w:val="both"/>
        <w:rPr>
          <w:b/>
          <w:bCs/>
        </w:rPr>
      </w:pPr>
    </w:p>
    <w:p w14:paraId="32A07DDF" w14:textId="77777777" w:rsidR="00A053A1" w:rsidRPr="001A7D1D" w:rsidRDefault="00A053A1" w:rsidP="001A7D1D">
      <w:pPr>
        <w:tabs>
          <w:tab w:val="left" w:pos="720"/>
        </w:tabs>
        <w:jc w:val="both"/>
        <w:rPr>
          <w:b/>
          <w:bCs/>
        </w:rPr>
      </w:pPr>
    </w:p>
    <w:p w14:paraId="581A58F8" w14:textId="77777777" w:rsidR="00A053A1" w:rsidRPr="001A7D1D" w:rsidRDefault="00A053A1" w:rsidP="001A7D1D">
      <w:pPr>
        <w:tabs>
          <w:tab w:val="left" w:pos="720"/>
        </w:tabs>
        <w:jc w:val="both"/>
        <w:rPr>
          <w:b/>
          <w:bCs/>
        </w:rPr>
      </w:pPr>
    </w:p>
    <w:p w14:paraId="33B66BFE" w14:textId="77777777" w:rsidR="00A053A1" w:rsidRPr="001A7D1D" w:rsidRDefault="00A053A1" w:rsidP="001A7D1D">
      <w:pPr>
        <w:tabs>
          <w:tab w:val="left" w:pos="720"/>
        </w:tabs>
        <w:jc w:val="both"/>
        <w:rPr>
          <w:b/>
          <w:bCs/>
        </w:rPr>
      </w:pPr>
    </w:p>
    <w:p w14:paraId="2693BA12" w14:textId="77777777" w:rsidR="00A053A1" w:rsidRPr="001A7D1D" w:rsidRDefault="00A053A1" w:rsidP="001A7D1D">
      <w:pPr>
        <w:tabs>
          <w:tab w:val="left" w:pos="720"/>
        </w:tabs>
        <w:jc w:val="both"/>
        <w:rPr>
          <w:b/>
          <w:bCs/>
        </w:rPr>
      </w:pPr>
    </w:p>
    <w:p w14:paraId="5EEF3FE0" w14:textId="77777777" w:rsidR="00A053A1" w:rsidRPr="001A7D1D" w:rsidRDefault="00A053A1" w:rsidP="001A7D1D">
      <w:pPr>
        <w:tabs>
          <w:tab w:val="left" w:pos="720"/>
        </w:tabs>
        <w:jc w:val="both"/>
        <w:rPr>
          <w:b/>
          <w:bCs/>
        </w:rPr>
      </w:pPr>
    </w:p>
    <w:p w14:paraId="0BED1D1F" w14:textId="77777777" w:rsidR="00A053A1" w:rsidRPr="001A7D1D" w:rsidRDefault="00A053A1" w:rsidP="001A7D1D">
      <w:pPr>
        <w:tabs>
          <w:tab w:val="left" w:pos="720"/>
        </w:tabs>
        <w:jc w:val="both"/>
        <w:rPr>
          <w:b/>
          <w:bCs/>
        </w:rPr>
      </w:pPr>
    </w:p>
    <w:p w14:paraId="1185680F" w14:textId="77777777" w:rsidR="00A053A1" w:rsidRPr="001A7D1D" w:rsidRDefault="00A053A1" w:rsidP="001A7D1D">
      <w:pPr>
        <w:tabs>
          <w:tab w:val="left" w:pos="720"/>
        </w:tabs>
        <w:jc w:val="both"/>
        <w:rPr>
          <w:b/>
          <w:bCs/>
        </w:rPr>
      </w:pPr>
    </w:p>
    <w:p w14:paraId="025E01C0" w14:textId="77777777" w:rsidR="00A053A1" w:rsidRPr="001A7D1D" w:rsidRDefault="00A053A1" w:rsidP="001A7D1D">
      <w:pPr>
        <w:tabs>
          <w:tab w:val="left" w:pos="720"/>
        </w:tabs>
        <w:jc w:val="both"/>
        <w:rPr>
          <w:b/>
          <w:bCs/>
        </w:rPr>
      </w:pPr>
    </w:p>
    <w:p w14:paraId="24FE25D9" w14:textId="77777777" w:rsidR="00A053A1" w:rsidRPr="001A7D1D" w:rsidRDefault="00A053A1" w:rsidP="001A7D1D">
      <w:pPr>
        <w:tabs>
          <w:tab w:val="left" w:pos="720"/>
        </w:tabs>
        <w:jc w:val="both"/>
        <w:rPr>
          <w:b/>
          <w:bCs/>
        </w:rPr>
      </w:pPr>
    </w:p>
    <w:p w14:paraId="7A1C3D13" w14:textId="77777777" w:rsidR="00A053A1" w:rsidRPr="001A7D1D" w:rsidRDefault="00A053A1" w:rsidP="001A7D1D">
      <w:pPr>
        <w:tabs>
          <w:tab w:val="left" w:pos="720"/>
        </w:tabs>
        <w:jc w:val="both"/>
        <w:rPr>
          <w:b/>
          <w:bCs/>
        </w:rPr>
      </w:pPr>
    </w:p>
    <w:p w14:paraId="0318BBC5" w14:textId="77777777" w:rsidR="00A053A1" w:rsidRPr="001A7D1D" w:rsidRDefault="00A053A1" w:rsidP="001A7D1D">
      <w:pPr>
        <w:tabs>
          <w:tab w:val="left" w:pos="720"/>
        </w:tabs>
        <w:jc w:val="both"/>
        <w:rPr>
          <w:b/>
          <w:bCs/>
        </w:rPr>
      </w:pPr>
    </w:p>
    <w:p w14:paraId="74C20F3E" w14:textId="77777777" w:rsidR="00A053A1" w:rsidRPr="001A7D1D" w:rsidRDefault="00A053A1" w:rsidP="001A7D1D">
      <w:pPr>
        <w:tabs>
          <w:tab w:val="left" w:pos="720"/>
        </w:tabs>
        <w:jc w:val="both"/>
        <w:rPr>
          <w:b/>
          <w:bCs/>
        </w:rPr>
      </w:pPr>
    </w:p>
    <w:p w14:paraId="635DDDF0" w14:textId="77777777" w:rsidR="00A053A1" w:rsidRPr="001A7D1D" w:rsidRDefault="00A053A1" w:rsidP="001A7D1D">
      <w:pPr>
        <w:tabs>
          <w:tab w:val="left" w:pos="720"/>
        </w:tabs>
        <w:jc w:val="both"/>
        <w:rPr>
          <w:b/>
          <w:bCs/>
        </w:rPr>
      </w:pPr>
    </w:p>
    <w:p w14:paraId="6FB0E472" w14:textId="77777777" w:rsidR="00A053A1" w:rsidRPr="001A7D1D" w:rsidRDefault="00A053A1" w:rsidP="001A7D1D">
      <w:pPr>
        <w:tabs>
          <w:tab w:val="left" w:pos="720"/>
        </w:tabs>
        <w:jc w:val="both"/>
        <w:rPr>
          <w:b/>
          <w:bCs/>
        </w:rPr>
      </w:pPr>
    </w:p>
    <w:p w14:paraId="4DE0B830" w14:textId="77777777" w:rsidR="00A053A1" w:rsidRPr="001A7D1D" w:rsidRDefault="00A053A1" w:rsidP="001A7D1D">
      <w:pPr>
        <w:tabs>
          <w:tab w:val="left" w:pos="720"/>
        </w:tabs>
        <w:jc w:val="both"/>
        <w:rPr>
          <w:b/>
          <w:bCs/>
        </w:rPr>
      </w:pPr>
    </w:p>
    <w:p w14:paraId="41E7D9D8" w14:textId="77777777" w:rsidR="00A053A1" w:rsidRPr="001A7D1D" w:rsidRDefault="00A053A1" w:rsidP="001A7D1D">
      <w:pPr>
        <w:tabs>
          <w:tab w:val="left" w:pos="720"/>
        </w:tabs>
        <w:jc w:val="both"/>
        <w:rPr>
          <w:b/>
          <w:bCs/>
        </w:rPr>
      </w:pPr>
    </w:p>
    <w:p w14:paraId="7F51412F" w14:textId="77777777" w:rsidR="00A053A1" w:rsidRPr="001A7D1D" w:rsidRDefault="00A053A1" w:rsidP="001A7D1D">
      <w:pPr>
        <w:tabs>
          <w:tab w:val="left" w:pos="720"/>
        </w:tabs>
        <w:jc w:val="both"/>
        <w:rPr>
          <w:b/>
          <w:bCs/>
        </w:rPr>
      </w:pPr>
    </w:p>
    <w:p w14:paraId="5A6C2456" w14:textId="77777777" w:rsidR="00A053A1" w:rsidRPr="001A7D1D" w:rsidRDefault="00A053A1" w:rsidP="001A7D1D">
      <w:pPr>
        <w:tabs>
          <w:tab w:val="left" w:pos="720"/>
        </w:tabs>
        <w:jc w:val="both"/>
        <w:rPr>
          <w:b/>
          <w:bCs/>
        </w:rPr>
      </w:pPr>
    </w:p>
    <w:p w14:paraId="793E49EA" w14:textId="77777777" w:rsidR="00A053A1" w:rsidRPr="001A7D1D" w:rsidRDefault="00A053A1" w:rsidP="001A7D1D">
      <w:pPr>
        <w:tabs>
          <w:tab w:val="left" w:pos="720"/>
        </w:tabs>
        <w:jc w:val="both"/>
        <w:rPr>
          <w:b/>
          <w:bCs/>
        </w:rPr>
      </w:pPr>
    </w:p>
    <w:p w14:paraId="46D329A9" w14:textId="01BAE05F" w:rsidR="007D3164" w:rsidRPr="001A7D1D" w:rsidRDefault="007D3164" w:rsidP="001A7D1D">
      <w:pPr>
        <w:tabs>
          <w:tab w:val="left" w:pos="720"/>
        </w:tabs>
        <w:spacing w:line="480" w:lineRule="auto"/>
        <w:jc w:val="center"/>
        <w:rPr>
          <w:b/>
          <w:bCs/>
        </w:rPr>
      </w:pPr>
      <w:r w:rsidRPr="001A7D1D">
        <w:rPr>
          <w:b/>
          <w:bCs/>
        </w:rPr>
        <w:lastRenderedPageBreak/>
        <w:t>References</w:t>
      </w:r>
    </w:p>
    <w:p w14:paraId="763D73B6" w14:textId="0D1AF869" w:rsidR="00AD324E" w:rsidRPr="00AD324E" w:rsidRDefault="00AD324E" w:rsidP="00AD324E">
      <w:pPr>
        <w:tabs>
          <w:tab w:val="left" w:pos="720"/>
        </w:tabs>
        <w:spacing w:line="480" w:lineRule="auto"/>
        <w:jc w:val="both"/>
      </w:pPr>
      <w:r w:rsidRPr="00AD324E">
        <w:t xml:space="preserve">Balcı, Ö. (2024). The role of ChatGPT in English as a foreign language (EFL) learning and </w:t>
      </w:r>
      <w:r>
        <w:tab/>
      </w:r>
      <w:r w:rsidRPr="00AD324E">
        <w:t xml:space="preserve">teaching: A systematic review. </w:t>
      </w:r>
      <w:r w:rsidRPr="00AD324E">
        <w:rPr>
          <w:i/>
          <w:iCs/>
        </w:rPr>
        <w:t>International Journal of Current Educational Studies, 3</w:t>
      </w:r>
      <w:r w:rsidRPr="00AD324E">
        <w:t xml:space="preserve">(1), </w:t>
      </w:r>
      <w:r>
        <w:tab/>
      </w:r>
      <w:r w:rsidRPr="00AD324E">
        <w:t xml:space="preserve">66–82. </w:t>
      </w:r>
      <w:hyperlink r:id="rId5" w:tgtFrame="_new" w:history="1">
        <w:r w:rsidRPr="00AD324E">
          <w:rPr>
            <w:rStyle w:val="Hyperlink"/>
          </w:rPr>
          <w:t>https://doi.org/10.46328/ijces.107</w:t>
        </w:r>
      </w:hyperlink>
      <w:r w:rsidRPr="00AD324E">
        <w:t xml:space="preserve"> </w:t>
      </w:r>
    </w:p>
    <w:p w14:paraId="2E8D0B86" w14:textId="1CA6E7F4" w:rsidR="00AD324E" w:rsidRPr="00AD324E" w:rsidRDefault="00AD324E" w:rsidP="00AD324E">
      <w:pPr>
        <w:tabs>
          <w:tab w:val="left" w:pos="720"/>
        </w:tabs>
        <w:spacing w:line="480" w:lineRule="auto"/>
        <w:jc w:val="both"/>
      </w:pPr>
      <w:proofErr w:type="spellStart"/>
      <w:r w:rsidRPr="00AD324E">
        <w:t>Bibauw</w:t>
      </w:r>
      <w:proofErr w:type="spellEnd"/>
      <w:r w:rsidRPr="00AD324E">
        <w:t xml:space="preserve">, S., François, T., &amp; Desmet, P. (2019). Discussing with a computer to practice a foreign </w:t>
      </w:r>
      <w:r>
        <w:tab/>
      </w:r>
      <w:r w:rsidRPr="00AD324E">
        <w:t xml:space="preserve">language: Research synthesis and conceptual framework of dialogue-based CALL. </w:t>
      </w:r>
      <w:r>
        <w:tab/>
      </w:r>
      <w:r w:rsidRPr="00AD324E">
        <w:rPr>
          <w:i/>
          <w:iCs/>
        </w:rPr>
        <w:t>Computer Assisted Language Learning, 32</w:t>
      </w:r>
      <w:r w:rsidRPr="00AD324E">
        <w:t xml:space="preserve">(8), 827–877. </w:t>
      </w:r>
      <w:r>
        <w:tab/>
      </w:r>
      <w:hyperlink r:id="rId6" w:history="1">
        <w:r w:rsidRPr="00BD2764">
          <w:rPr>
            <w:rStyle w:val="Hyperlink"/>
          </w:rPr>
          <w:t>https://doi.org/10.1080/09588221.2018.1535508</w:t>
        </w:r>
      </w:hyperlink>
    </w:p>
    <w:p w14:paraId="73FFD7A3" w14:textId="49191F9F" w:rsidR="00AD324E" w:rsidRPr="00AD324E" w:rsidRDefault="00AD324E" w:rsidP="00AD324E">
      <w:pPr>
        <w:tabs>
          <w:tab w:val="left" w:pos="720"/>
        </w:tabs>
        <w:spacing w:line="480" w:lineRule="auto"/>
        <w:jc w:val="both"/>
      </w:pPr>
      <w:r w:rsidRPr="00AD324E">
        <w:t xml:space="preserve">Cambridge English Language Assessment. (2014). </w:t>
      </w:r>
      <w:r w:rsidRPr="00AD324E">
        <w:rPr>
          <w:i/>
          <w:iCs/>
        </w:rPr>
        <w:t xml:space="preserve">Cambridge English Key 7 with answers: </w:t>
      </w:r>
      <w:r>
        <w:rPr>
          <w:i/>
          <w:iCs/>
        </w:rPr>
        <w:tab/>
      </w:r>
      <w:r w:rsidRPr="00AD324E">
        <w:rPr>
          <w:i/>
          <w:iCs/>
        </w:rPr>
        <w:t>Authentic examination papers from Cambridge English Language Assessment</w:t>
      </w:r>
      <w:r w:rsidRPr="00AD324E">
        <w:t xml:space="preserve">. Cambridge </w:t>
      </w:r>
      <w:r>
        <w:tab/>
      </w:r>
      <w:r w:rsidRPr="00AD324E">
        <w:t>University Press.</w:t>
      </w:r>
    </w:p>
    <w:p w14:paraId="39007EC1" w14:textId="548FAD6B" w:rsidR="00AD324E" w:rsidRPr="00AD324E" w:rsidRDefault="00AD324E" w:rsidP="00AD324E">
      <w:pPr>
        <w:tabs>
          <w:tab w:val="left" w:pos="720"/>
        </w:tabs>
        <w:spacing w:line="480" w:lineRule="auto"/>
        <w:jc w:val="both"/>
      </w:pPr>
      <w:r w:rsidRPr="00AD324E">
        <w:t xml:space="preserve">Chang, A. C.-S. (2007). The impact of vocabulary preparation on L2 listening comprehension, </w:t>
      </w:r>
      <w:r>
        <w:tab/>
      </w:r>
      <w:r w:rsidRPr="00AD324E">
        <w:t xml:space="preserve">confidence, and strategy use. </w:t>
      </w:r>
      <w:r w:rsidRPr="00AD324E">
        <w:rPr>
          <w:i/>
          <w:iCs/>
        </w:rPr>
        <w:t>System, 35</w:t>
      </w:r>
      <w:r w:rsidRPr="00AD324E">
        <w:t xml:space="preserve">(4), 534–550. </w:t>
      </w:r>
      <w:r>
        <w:tab/>
      </w:r>
      <w:hyperlink r:id="rId7" w:history="1">
        <w:r w:rsidRPr="00BD2764">
          <w:rPr>
            <w:rStyle w:val="Hyperlink"/>
          </w:rPr>
          <w:t>https://doi.org/10.1016/j.system.2007.06.003</w:t>
        </w:r>
      </w:hyperlink>
    </w:p>
    <w:p w14:paraId="630B7360" w14:textId="2E305FDF" w:rsidR="00AD324E" w:rsidRPr="00AD324E" w:rsidRDefault="00AD324E" w:rsidP="00AD324E">
      <w:pPr>
        <w:tabs>
          <w:tab w:val="left" w:pos="720"/>
        </w:tabs>
        <w:spacing w:line="480" w:lineRule="auto"/>
        <w:jc w:val="both"/>
      </w:pPr>
      <w:r w:rsidRPr="00AD324E">
        <w:t xml:space="preserve">Creswell, J. W., &amp; Creswell, J. D. (2018). </w:t>
      </w:r>
      <w:r w:rsidRPr="00AD324E">
        <w:rPr>
          <w:i/>
          <w:iCs/>
        </w:rPr>
        <w:t xml:space="preserve">Research design: Qualitative, quantitative, and mixed </w:t>
      </w:r>
      <w:r>
        <w:rPr>
          <w:i/>
          <w:iCs/>
        </w:rPr>
        <w:tab/>
      </w:r>
      <w:r w:rsidRPr="00AD324E">
        <w:rPr>
          <w:i/>
          <w:iCs/>
        </w:rPr>
        <w:t xml:space="preserve">methods </w:t>
      </w:r>
      <w:proofErr w:type="gramStart"/>
      <w:r w:rsidRPr="00AD324E">
        <w:rPr>
          <w:i/>
          <w:iCs/>
        </w:rPr>
        <w:t>approaches</w:t>
      </w:r>
      <w:proofErr w:type="gramEnd"/>
      <w:r w:rsidRPr="00AD324E">
        <w:t xml:space="preserve"> (5th ed.). SAGE Publications.</w:t>
      </w:r>
    </w:p>
    <w:p w14:paraId="1D885F38" w14:textId="77777777" w:rsidR="00AD324E" w:rsidRDefault="00AD324E" w:rsidP="00AD324E">
      <w:pPr>
        <w:tabs>
          <w:tab w:val="left" w:pos="720"/>
        </w:tabs>
        <w:spacing w:line="480" w:lineRule="auto"/>
        <w:jc w:val="both"/>
      </w:pPr>
      <w:proofErr w:type="spellStart"/>
      <w:r w:rsidRPr="00AD324E">
        <w:t>Elkhafaifi</w:t>
      </w:r>
      <w:proofErr w:type="spellEnd"/>
      <w:r w:rsidRPr="00AD324E">
        <w:t xml:space="preserve">, H. (2005). The effect of </w:t>
      </w:r>
      <w:proofErr w:type="spellStart"/>
      <w:r w:rsidRPr="00AD324E">
        <w:t>prelistening</w:t>
      </w:r>
      <w:proofErr w:type="spellEnd"/>
      <w:r w:rsidRPr="00AD324E">
        <w:t xml:space="preserve"> activities on listening comprehension in Arabic </w:t>
      </w:r>
      <w:r>
        <w:tab/>
      </w:r>
      <w:r w:rsidRPr="00AD324E">
        <w:t xml:space="preserve">learners. </w:t>
      </w:r>
      <w:r w:rsidRPr="00AD324E">
        <w:rPr>
          <w:i/>
          <w:iCs/>
        </w:rPr>
        <w:t>Foreign Language Annals, 38</w:t>
      </w:r>
      <w:r w:rsidRPr="00AD324E">
        <w:t xml:space="preserve">(4), 505–513. </w:t>
      </w:r>
    </w:p>
    <w:p w14:paraId="49560BBB" w14:textId="3BB06202" w:rsidR="00AD324E" w:rsidRPr="00AD324E" w:rsidRDefault="00AD324E" w:rsidP="00AD324E">
      <w:pPr>
        <w:tabs>
          <w:tab w:val="left" w:pos="720"/>
        </w:tabs>
        <w:spacing w:line="480" w:lineRule="auto"/>
        <w:jc w:val="both"/>
      </w:pPr>
      <w:r>
        <w:tab/>
      </w:r>
      <w:hyperlink r:id="rId8" w:history="1">
        <w:r w:rsidRPr="00BD2764">
          <w:rPr>
            <w:rStyle w:val="Hyperlink"/>
          </w:rPr>
          <w:t>https://doi.org/10.1111/j.1944-9720.2005.tb02517.x</w:t>
        </w:r>
      </w:hyperlink>
    </w:p>
    <w:p w14:paraId="050CE752" w14:textId="77777777" w:rsidR="00AD324E" w:rsidRPr="00AD324E" w:rsidRDefault="00AD324E" w:rsidP="00AD324E">
      <w:pPr>
        <w:tabs>
          <w:tab w:val="left" w:pos="720"/>
        </w:tabs>
        <w:spacing w:line="480" w:lineRule="auto"/>
        <w:jc w:val="both"/>
      </w:pPr>
      <w:r w:rsidRPr="00AD324E">
        <w:t xml:space="preserve">Field, J. (2008). </w:t>
      </w:r>
      <w:r w:rsidRPr="00AD324E">
        <w:rPr>
          <w:i/>
          <w:iCs/>
        </w:rPr>
        <w:t>Listening in the language classroom</w:t>
      </w:r>
      <w:r w:rsidRPr="00AD324E">
        <w:t>. Cambridge University Press.</w:t>
      </w:r>
    </w:p>
    <w:p w14:paraId="5B12D4DB" w14:textId="561ED81F" w:rsidR="00AD324E" w:rsidRPr="00AD324E" w:rsidRDefault="00AD324E" w:rsidP="00AD324E">
      <w:pPr>
        <w:tabs>
          <w:tab w:val="left" w:pos="720"/>
        </w:tabs>
        <w:spacing w:line="480" w:lineRule="auto"/>
        <w:jc w:val="both"/>
      </w:pPr>
      <w:r>
        <w:tab/>
      </w:r>
      <w:r w:rsidRPr="00AD324E">
        <w:t xml:space="preserve">Fryer, L. K., Nakao, K., &amp; Thompson, A. (2019). Chatbot learning partners: Connecting </w:t>
      </w:r>
      <w:r>
        <w:tab/>
      </w:r>
      <w:r w:rsidRPr="00AD324E">
        <w:t xml:space="preserve">learning experiences, interest and competence. </w:t>
      </w:r>
      <w:r w:rsidRPr="00AD324E">
        <w:rPr>
          <w:i/>
          <w:iCs/>
        </w:rPr>
        <w:t>Computers in Human Behavior, 93</w:t>
      </w:r>
      <w:r w:rsidRPr="00AD324E">
        <w:t>, 279–</w:t>
      </w:r>
      <w:r>
        <w:tab/>
      </w:r>
      <w:r w:rsidRPr="00AD324E">
        <w:t xml:space="preserve">289. </w:t>
      </w:r>
      <w:hyperlink r:id="rId9" w:tgtFrame="_new" w:history="1">
        <w:r w:rsidRPr="00AD324E">
          <w:rPr>
            <w:rStyle w:val="Hyperlink"/>
          </w:rPr>
          <w:t>https://doi.org/10.1016/j.chb.2018.12.023</w:t>
        </w:r>
      </w:hyperlink>
    </w:p>
    <w:p w14:paraId="7C7CCBDE" w14:textId="785611EC" w:rsidR="00AD324E" w:rsidRPr="00AD324E" w:rsidRDefault="00AD324E" w:rsidP="00AD324E">
      <w:pPr>
        <w:tabs>
          <w:tab w:val="left" w:pos="720"/>
        </w:tabs>
        <w:spacing w:line="480" w:lineRule="auto"/>
        <w:jc w:val="both"/>
      </w:pPr>
      <w:r w:rsidRPr="00AD324E">
        <w:lastRenderedPageBreak/>
        <w:t xml:space="preserve">Hill, R. (1998). What sample size is "enough" in internet survey research? </w:t>
      </w:r>
      <w:r w:rsidRPr="00AD324E">
        <w:rPr>
          <w:i/>
          <w:iCs/>
        </w:rPr>
        <w:t xml:space="preserve">Interpersonal </w:t>
      </w:r>
      <w:r>
        <w:rPr>
          <w:i/>
          <w:iCs/>
        </w:rPr>
        <w:tab/>
      </w:r>
      <w:r w:rsidRPr="00AD324E">
        <w:rPr>
          <w:i/>
          <w:iCs/>
        </w:rPr>
        <w:t>Computing and Technology: An Electronic Journal for the 21st Century, 6</w:t>
      </w:r>
      <w:r w:rsidRPr="00AD324E">
        <w:t>(3–4), 1–12.</w:t>
      </w:r>
    </w:p>
    <w:p w14:paraId="5AA5FC95" w14:textId="5D9FD725" w:rsidR="00AD324E" w:rsidRPr="00AD324E" w:rsidRDefault="00AD324E" w:rsidP="00AD324E">
      <w:pPr>
        <w:tabs>
          <w:tab w:val="left" w:pos="720"/>
        </w:tabs>
        <w:spacing w:line="480" w:lineRule="auto"/>
        <w:jc w:val="both"/>
      </w:pPr>
      <w:r w:rsidRPr="00AD324E">
        <w:t xml:space="preserve">Huang, W., Hew, K. F., &amp; Fryer, L. K. (2022). Chatbots for language learning—Are they really </w:t>
      </w:r>
      <w:r>
        <w:tab/>
      </w:r>
      <w:r w:rsidRPr="00AD324E">
        <w:t xml:space="preserve">useful? A systematic review of chatbot-supported language learning. </w:t>
      </w:r>
      <w:r w:rsidRPr="00AD324E">
        <w:rPr>
          <w:i/>
          <w:iCs/>
        </w:rPr>
        <w:t xml:space="preserve">Journal of Computer </w:t>
      </w:r>
      <w:r>
        <w:rPr>
          <w:i/>
          <w:iCs/>
        </w:rPr>
        <w:tab/>
      </w:r>
      <w:r w:rsidRPr="00AD324E">
        <w:rPr>
          <w:i/>
          <w:iCs/>
        </w:rPr>
        <w:t>Assisted Learning, 38</w:t>
      </w:r>
      <w:r w:rsidRPr="00AD324E">
        <w:t xml:space="preserve">(1), 237–257. </w:t>
      </w:r>
      <w:hyperlink r:id="rId10" w:tgtFrame="_new" w:history="1">
        <w:r w:rsidRPr="00AD324E">
          <w:rPr>
            <w:rStyle w:val="Hyperlink"/>
          </w:rPr>
          <w:t>https://doi.org/10.1111/jcal.12610</w:t>
        </w:r>
      </w:hyperlink>
    </w:p>
    <w:p w14:paraId="2CD7C090" w14:textId="1A1BAF07" w:rsidR="00AD324E" w:rsidRPr="00AD324E" w:rsidRDefault="00AD324E" w:rsidP="00AD324E">
      <w:pPr>
        <w:tabs>
          <w:tab w:val="left" w:pos="720"/>
        </w:tabs>
        <w:spacing w:line="480" w:lineRule="auto"/>
        <w:jc w:val="both"/>
      </w:pPr>
      <w:r w:rsidRPr="00AD324E">
        <w:t xml:space="preserve">Lo, C. K., Tsoi, C. O., &amp; Xu, Z. (2024). Exploring the application of ChatGPT in ESL/EFL </w:t>
      </w:r>
      <w:r>
        <w:tab/>
      </w:r>
      <w:r w:rsidRPr="00AD324E">
        <w:t xml:space="preserve">education and related research issues: A systematic review of empirical studies. </w:t>
      </w:r>
      <w:r w:rsidRPr="00AD324E">
        <w:rPr>
          <w:i/>
          <w:iCs/>
        </w:rPr>
        <w:t xml:space="preserve">Smart </w:t>
      </w:r>
      <w:r>
        <w:rPr>
          <w:i/>
          <w:iCs/>
        </w:rPr>
        <w:tab/>
      </w:r>
      <w:r w:rsidRPr="00AD324E">
        <w:rPr>
          <w:i/>
          <w:iCs/>
        </w:rPr>
        <w:t>Learning Environments, 11</w:t>
      </w:r>
      <w:r w:rsidRPr="00AD324E">
        <w:t xml:space="preserve">, Article 50. </w:t>
      </w:r>
      <w:hyperlink r:id="rId11" w:tgtFrame="_new" w:history="1">
        <w:r w:rsidRPr="00AD324E">
          <w:rPr>
            <w:rStyle w:val="Hyperlink"/>
          </w:rPr>
          <w:t>https://doi.org/10.1186/s40561-024-00336-1</w:t>
        </w:r>
      </w:hyperlink>
    </w:p>
    <w:p w14:paraId="6C032562" w14:textId="05FF3E28" w:rsidR="00AD324E" w:rsidRPr="00AD324E" w:rsidRDefault="00AD324E" w:rsidP="00AD324E">
      <w:pPr>
        <w:tabs>
          <w:tab w:val="left" w:pos="720"/>
        </w:tabs>
        <w:spacing w:line="480" w:lineRule="auto"/>
        <w:jc w:val="both"/>
      </w:pPr>
      <w:r w:rsidRPr="00AD324E">
        <w:t xml:space="preserve">Madani, B. S., &amp; </w:t>
      </w:r>
      <w:proofErr w:type="spellStart"/>
      <w:r w:rsidRPr="00AD324E">
        <w:t>Kheirzadeh</w:t>
      </w:r>
      <w:proofErr w:type="spellEnd"/>
      <w:r w:rsidRPr="00AD324E">
        <w:t xml:space="preserve">, S. (2022). The impact of pre-listening activities on EFL learners’ </w:t>
      </w:r>
      <w:r>
        <w:tab/>
      </w:r>
      <w:r w:rsidRPr="00AD324E">
        <w:t xml:space="preserve">listening comprehension. </w:t>
      </w:r>
      <w:r w:rsidRPr="00AD324E">
        <w:rPr>
          <w:i/>
          <w:iCs/>
        </w:rPr>
        <w:t>International Journal of Listening, 36</w:t>
      </w:r>
      <w:r w:rsidRPr="00AD324E">
        <w:t xml:space="preserve">(1), 53–67. </w:t>
      </w:r>
      <w:r>
        <w:tab/>
      </w:r>
      <w:hyperlink r:id="rId12" w:history="1">
        <w:r w:rsidRPr="00BD2764">
          <w:rPr>
            <w:rStyle w:val="Hyperlink"/>
          </w:rPr>
          <w:t>https://doi.org/10.1080/10904018.2018.1523679</w:t>
        </w:r>
      </w:hyperlink>
      <w:r w:rsidRPr="00AD324E">
        <w:t xml:space="preserve"> </w:t>
      </w:r>
    </w:p>
    <w:p w14:paraId="4FBE0EF8" w14:textId="34331FBC" w:rsidR="00AD324E" w:rsidRDefault="00AD324E" w:rsidP="00AD324E">
      <w:pPr>
        <w:tabs>
          <w:tab w:val="left" w:pos="720"/>
        </w:tabs>
        <w:spacing w:line="480" w:lineRule="auto"/>
        <w:jc w:val="both"/>
      </w:pPr>
      <w:r w:rsidRPr="00AD324E">
        <w:t xml:space="preserve">Paas, F., Renkl, A., &amp; </w:t>
      </w:r>
      <w:proofErr w:type="spellStart"/>
      <w:r w:rsidRPr="00AD324E">
        <w:t>Sweller</w:t>
      </w:r>
      <w:proofErr w:type="spellEnd"/>
      <w:r w:rsidRPr="00AD324E">
        <w:t xml:space="preserve">, J. (2003). Cognitive load theory and instructional design: Recent </w:t>
      </w:r>
      <w:r>
        <w:tab/>
      </w:r>
      <w:r w:rsidRPr="00AD324E">
        <w:t xml:space="preserve">developments. </w:t>
      </w:r>
      <w:r w:rsidRPr="00AD324E">
        <w:rPr>
          <w:i/>
          <w:iCs/>
        </w:rPr>
        <w:t>Educational Psychologist, 38</w:t>
      </w:r>
      <w:r w:rsidRPr="00AD324E">
        <w:t xml:space="preserve">(1), 1–4. </w:t>
      </w:r>
      <w:r>
        <w:tab/>
      </w:r>
      <w:hyperlink r:id="rId13" w:history="1">
        <w:r w:rsidRPr="00BD2764">
          <w:rPr>
            <w:rStyle w:val="Hyperlink"/>
          </w:rPr>
          <w:t>https://doi.org/10.1207/S15326985EP3802_1</w:t>
        </w:r>
      </w:hyperlink>
    </w:p>
    <w:p w14:paraId="49512F5D" w14:textId="5579064B" w:rsidR="00AD324E" w:rsidRPr="00AD324E" w:rsidRDefault="00AD324E" w:rsidP="00AD324E">
      <w:pPr>
        <w:tabs>
          <w:tab w:val="left" w:pos="720"/>
        </w:tabs>
        <w:spacing w:line="480" w:lineRule="auto"/>
        <w:jc w:val="both"/>
      </w:pPr>
      <w:r w:rsidRPr="00AD324E">
        <w:t xml:space="preserve">Patton, M. Q. (2015). </w:t>
      </w:r>
      <w:r w:rsidRPr="00AD324E">
        <w:rPr>
          <w:i/>
          <w:iCs/>
        </w:rPr>
        <w:t>Qualitative research &amp; evaluation methods: Integrating theory and practice</w:t>
      </w:r>
      <w:r w:rsidRPr="00AD324E">
        <w:t xml:space="preserve"> </w:t>
      </w:r>
      <w:r>
        <w:tab/>
      </w:r>
      <w:r w:rsidRPr="00AD324E">
        <w:t>(4th ed.). SAGE Publications.</w:t>
      </w:r>
    </w:p>
    <w:p w14:paraId="4A92D282" w14:textId="1EF35127" w:rsidR="00AD324E" w:rsidRPr="00AD324E" w:rsidRDefault="00AD324E" w:rsidP="00AD324E">
      <w:pPr>
        <w:tabs>
          <w:tab w:val="left" w:pos="720"/>
        </w:tabs>
        <w:spacing w:line="480" w:lineRule="auto"/>
        <w:jc w:val="both"/>
      </w:pPr>
      <w:r w:rsidRPr="00AD324E">
        <w:t xml:space="preserve">Plass, J. L., Moreno, R., &amp; </w:t>
      </w:r>
      <w:proofErr w:type="spellStart"/>
      <w:r w:rsidRPr="00AD324E">
        <w:t>Brünken</w:t>
      </w:r>
      <w:proofErr w:type="spellEnd"/>
      <w:r w:rsidRPr="00AD324E">
        <w:t xml:space="preserve">, R. (Eds.). (2010). </w:t>
      </w:r>
      <w:r w:rsidRPr="00AD324E">
        <w:rPr>
          <w:i/>
          <w:iCs/>
        </w:rPr>
        <w:t>Cognitive load theory</w:t>
      </w:r>
      <w:r w:rsidRPr="00AD324E">
        <w:t xml:space="preserve">. Cambridge </w:t>
      </w:r>
      <w:r>
        <w:tab/>
      </w:r>
      <w:r w:rsidRPr="00AD324E">
        <w:t xml:space="preserve">University Press. </w:t>
      </w:r>
      <w:hyperlink r:id="rId14" w:tgtFrame="_new" w:history="1">
        <w:r w:rsidRPr="00AD324E">
          <w:rPr>
            <w:rStyle w:val="Hyperlink"/>
          </w:rPr>
          <w:t>https://doi.org/10.1017/CBO9780511844744</w:t>
        </w:r>
      </w:hyperlink>
    </w:p>
    <w:p w14:paraId="7DA2A941" w14:textId="2D0A2EB9" w:rsidR="00AD324E" w:rsidRPr="00AD324E" w:rsidRDefault="00AD324E" w:rsidP="00AD324E">
      <w:pPr>
        <w:tabs>
          <w:tab w:val="left" w:pos="720"/>
        </w:tabs>
        <w:spacing w:line="480" w:lineRule="auto"/>
        <w:jc w:val="both"/>
      </w:pPr>
      <w:r w:rsidRPr="00AD324E">
        <w:t xml:space="preserve">Roussel, S., Tricot, A., &amp; </w:t>
      </w:r>
      <w:proofErr w:type="spellStart"/>
      <w:r w:rsidRPr="00AD324E">
        <w:t>Sweller</w:t>
      </w:r>
      <w:proofErr w:type="spellEnd"/>
      <w:r w:rsidRPr="00AD324E">
        <w:t xml:space="preserve">, J. (2022). The advantages of listening to academic content in a </w:t>
      </w:r>
      <w:r>
        <w:tab/>
      </w:r>
      <w:r w:rsidRPr="00AD324E">
        <w:t xml:space="preserve">second language may be outweighed by disadvantages: A cognitive load theory approach. </w:t>
      </w:r>
      <w:r>
        <w:tab/>
      </w:r>
      <w:r w:rsidRPr="00AD324E">
        <w:rPr>
          <w:i/>
          <w:iCs/>
        </w:rPr>
        <w:t>British Journal of Educational Psychology, 92</w:t>
      </w:r>
      <w:r w:rsidRPr="00AD324E">
        <w:t xml:space="preserve">(2), 627–644. </w:t>
      </w:r>
      <w:r>
        <w:tab/>
      </w:r>
      <w:hyperlink r:id="rId15" w:history="1">
        <w:r w:rsidRPr="00BD2764">
          <w:rPr>
            <w:rStyle w:val="Hyperlink"/>
          </w:rPr>
          <w:t>https://doi.org/10.1111/bjep.12468</w:t>
        </w:r>
      </w:hyperlink>
    </w:p>
    <w:p w14:paraId="64440F42" w14:textId="2FF73628" w:rsidR="00AD324E" w:rsidRPr="00AD324E" w:rsidRDefault="00AD324E" w:rsidP="00AD324E">
      <w:pPr>
        <w:tabs>
          <w:tab w:val="left" w:pos="720"/>
        </w:tabs>
        <w:spacing w:line="480" w:lineRule="auto"/>
        <w:jc w:val="both"/>
      </w:pPr>
      <w:r w:rsidRPr="00AD324E">
        <w:lastRenderedPageBreak/>
        <w:t xml:space="preserve">Satori, M. (2014). The effect of L1 and L2 working memory on L2 listening comprehension. </w:t>
      </w:r>
      <w:r>
        <w:tab/>
      </w:r>
      <w:r w:rsidRPr="00AD324E">
        <w:rPr>
          <w:i/>
          <w:iCs/>
        </w:rPr>
        <w:t>Studies in Cultural Sciences, 5</w:t>
      </w:r>
      <w:r w:rsidRPr="00AD324E">
        <w:t>, 13–27.</w:t>
      </w:r>
    </w:p>
    <w:p w14:paraId="220A3F81" w14:textId="39E566C9" w:rsidR="00AD324E" w:rsidRPr="00AD324E" w:rsidRDefault="00AD324E" w:rsidP="00AD324E">
      <w:pPr>
        <w:tabs>
          <w:tab w:val="left" w:pos="720"/>
        </w:tabs>
        <w:spacing w:line="480" w:lineRule="auto"/>
        <w:jc w:val="both"/>
      </w:pPr>
      <w:proofErr w:type="spellStart"/>
      <w:r w:rsidRPr="00AD324E">
        <w:t>Sweller</w:t>
      </w:r>
      <w:proofErr w:type="spellEnd"/>
      <w:r w:rsidRPr="00AD324E">
        <w:t xml:space="preserve">, J. (1988). Cognitive load during problem solving: Effects on learning. </w:t>
      </w:r>
      <w:r w:rsidRPr="00AD324E">
        <w:rPr>
          <w:i/>
          <w:iCs/>
        </w:rPr>
        <w:t xml:space="preserve">Cognitive Science, </w:t>
      </w:r>
      <w:r>
        <w:rPr>
          <w:i/>
          <w:iCs/>
        </w:rPr>
        <w:tab/>
      </w:r>
      <w:r w:rsidRPr="00AD324E">
        <w:rPr>
          <w:i/>
          <w:iCs/>
        </w:rPr>
        <w:t>12</w:t>
      </w:r>
      <w:r w:rsidRPr="00AD324E">
        <w:t xml:space="preserve">(2), 257–285. </w:t>
      </w:r>
      <w:hyperlink r:id="rId16" w:tgtFrame="_new" w:history="1">
        <w:r w:rsidRPr="00AD324E">
          <w:rPr>
            <w:rStyle w:val="Hyperlink"/>
          </w:rPr>
          <w:t>https://doi.org/10.1207/s15516709cog1202_4</w:t>
        </w:r>
      </w:hyperlink>
    </w:p>
    <w:p w14:paraId="7E32FA3F" w14:textId="30A50716" w:rsidR="00AD324E" w:rsidRPr="00AD324E" w:rsidRDefault="00AD324E" w:rsidP="00AD324E">
      <w:pPr>
        <w:tabs>
          <w:tab w:val="left" w:pos="720"/>
        </w:tabs>
        <w:spacing w:line="480" w:lineRule="auto"/>
        <w:jc w:val="both"/>
      </w:pPr>
      <w:r w:rsidRPr="00AD324E">
        <w:t xml:space="preserve">Vandergrift, L. (2003). Orchestrating strategy use: Toward a model of the skilled second language </w:t>
      </w:r>
      <w:r>
        <w:tab/>
      </w:r>
      <w:r w:rsidRPr="00AD324E">
        <w:t xml:space="preserve">listener. </w:t>
      </w:r>
      <w:r w:rsidRPr="00AD324E">
        <w:rPr>
          <w:i/>
          <w:iCs/>
        </w:rPr>
        <w:t>Language Learning, 53</w:t>
      </w:r>
      <w:r w:rsidRPr="00AD324E">
        <w:t xml:space="preserve">(3), 463–496. </w:t>
      </w:r>
      <w:hyperlink r:id="rId17" w:tgtFrame="_new" w:history="1">
        <w:r w:rsidRPr="00AD324E">
          <w:rPr>
            <w:rStyle w:val="Hyperlink"/>
          </w:rPr>
          <w:t>https://doi.org/10.1111/1467-9922.00232</w:t>
        </w:r>
      </w:hyperlink>
    </w:p>
    <w:p w14:paraId="04B7408C" w14:textId="460D9735" w:rsidR="00AD324E" w:rsidRPr="00AD324E" w:rsidRDefault="00AD324E" w:rsidP="00AD324E">
      <w:pPr>
        <w:tabs>
          <w:tab w:val="left" w:pos="720"/>
        </w:tabs>
        <w:spacing w:line="480" w:lineRule="auto"/>
        <w:jc w:val="both"/>
      </w:pPr>
      <w:r w:rsidRPr="00AD324E">
        <w:t xml:space="preserve">Vandergrift, L., &amp; Goh, C. C. M. (2012). </w:t>
      </w:r>
      <w:r w:rsidRPr="00AD324E">
        <w:rPr>
          <w:i/>
          <w:iCs/>
        </w:rPr>
        <w:t xml:space="preserve">Teaching and learning second language listening: </w:t>
      </w:r>
      <w:r>
        <w:rPr>
          <w:i/>
          <w:iCs/>
        </w:rPr>
        <w:tab/>
      </w:r>
      <w:r w:rsidRPr="00AD324E">
        <w:rPr>
          <w:i/>
          <w:iCs/>
        </w:rPr>
        <w:t>Metacognition in action</w:t>
      </w:r>
      <w:r w:rsidRPr="00AD324E">
        <w:t>. Routledge.</w:t>
      </w:r>
    </w:p>
    <w:p w14:paraId="0533DF81" w14:textId="00C0B25D" w:rsidR="00AD324E" w:rsidRPr="00AD324E" w:rsidRDefault="00AD324E" w:rsidP="00AD324E">
      <w:pPr>
        <w:tabs>
          <w:tab w:val="left" w:pos="720"/>
        </w:tabs>
        <w:spacing w:line="480" w:lineRule="auto"/>
        <w:jc w:val="both"/>
      </w:pPr>
      <w:r w:rsidRPr="00AD324E">
        <w:t xml:space="preserve">Vandergrift, L., &amp; </w:t>
      </w:r>
      <w:proofErr w:type="spellStart"/>
      <w:r w:rsidRPr="00AD324E">
        <w:t>Tafaghodtari</w:t>
      </w:r>
      <w:proofErr w:type="spellEnd"/>
      <w:r w:rsidRPr="00AD324E">
        <w:t xml:space="preserve">, M. H. (2010). Teaching L2 learners how to listen does make a </w:t>
      </w:r>
      <w:r>
        <w:tab/>
      </w:r>
      <w:r w:rsidRPr="00AD324E">
        <w:t xml:space="preserve">difference: An empirical study. </w:t>
      </w:r>
      <w:r w:rsidRPr="00AD324E">
        <w:rPr>
          <w:i/>
          <w:iCs/>
        </w:rPr>
        <w:t>Language Learning, 60</w:t>
      </w:r>
      <w:r w:rsidRPr="00AD324E">
        <w:t xml:space="preserve">(2), 470–497. </w:t>
      </w:r>
      <w:r>
        <w:tab/>
      </w:r>
      <w:hyperlink r:id="rId18" w:history="1">
        <w:r w:rsidRPr="00BD2764">
          <w:rPr>
            <w:rStyle w:val="Hyperlink"/>
          </w:rPr>
          <w:t>https://doi.org/10.1111/j.1467-9922.2009.00559.x</w:t>
        </w:r>
      </w:hyperlink>
    </w:p>
    <w:p w14:paraId="32120486" w14:textId="5752424D" w:rsidR="00AD324E" w:rsidRPr="00AD324E" w:rsidRDefault="00AD324E" w:rsidP="00AD324E">
      <w:pPr>
        <w:tabs>
          <w:tab w:val="left" w:pos="720"/>
        </w:tabs>
        <w:spacing w:line="480" w:lineRule="auto"/>
        <w:jc w:val="both"/>
      </w:pPr>
      <w:r w:rsidRPr="00AD324E">
        <w:t xml:space="preserve">Yang, L., &amp; Li, R. (2024). ChatGPT for L2 learning: Current status and implications. </w:t>
      </w:r>
      <w:r w:rsidRPr="00AD324E">
        <w:rPr>
          <w:i/>
          <w:iCs/>
        </w:rPr>
        <w:t>System, 124</w:t>
      </w:r>
      <w:r w:rsidRPr="00AD324E">
        <w:t xml:space="preserve">, </w:t>
      </w:r>
      <w:r>
        <w:tab/>
      </w:r>
      <w:r w:rsidRPr="00AD324E">
        <w:t xml:space="preserve">Article 103351. </w:t>
      </w:r>
      <w:hyperlink r:id="rId19" w:tgtFrame="_new" w:history="1">
        <w:r w:rsidRPr="00AD324E">
          <w:rPr>
            <w:rStyle w:val="Hyperlink"/>
          </w:rPr>
          <w:t>https://doi.org/10.1016/j.system.2024.103351</w:t>
        </w:r>
      </w:hyperlink>
    </w:p>
    <w:p w14:paraId="7844460B" w14:textId="1E28B6C6" w:rsidR="00AD324E" w:rsidRDefault="00AD324E" w:rsidP="00AD324E">
      <w:pPr>
        <w:tabs>
          <w:tab w:val="left" w:pos="720"/>
        </w:tabs>
        <w:spacing w:line="480" w:lineRule="auto"/>
        <w:jc w:val="both"/>
      </w:pPr>
      <w:r w:rsidRPr="00AD324E">
        <w:t xml:space="preserve">Yüksel, D., &amp; Yılmaz, S. (2019). The effect of key vocabulary and comprehension-question </w:t>
      </w:r>
      <w:r>
        <w:tab/>
      </w:r>
      <w:r w:rsidRPr="00AD324E">
        <w:t xml:space="preserve">previews on EFL listening performance. </w:t>
      </w:r>
      <w:r w:rsidRPr="00AD324E">
        <w:rPr>
          <w:i/>
          <w:iCs/>
        </w:rPr>
        <w:t xml:space="preserve">Journal of Language and Linguistic Studies, </w:t>
      </w:r>
      <w:r>
        <w:rPr>
          <w:i/>
          <w:iCs/>
        </w:rPr>
        <w:tab/>
      </w:r>
      <w:r w:rsidRPr="00AD324E">
        <w:rPr>
          <w:i/>
          <w:iCs/>
        </w:rPr>
        <w:t>15</w:t>
      </w:r>
      <w:r w:rsidRPr="00AD324E">
        <w:t xml:space="preserve">(4), 1363–1375. </w:t>
      </w:r>
      <w:hyperlink r:id="rId20" w:tgtFrame="_new" w:history="1">
        <w:r w:rsidRPr="00AD324E">
          <w:rPr>
            <w:rStyle w:val="Hyperlink"/>
          </w:rPr>
          <w:t>https://doi.org/10.17263/jlls.668532</w:t>
        </w:r>
      </w:hyperlink>
    </w:p>
    <w:p w14:paraId="0250C58C" w14:textId="77777777" w:rsidR="00B628A6" w:rsidRDefault="00B628A6" w:rsidP="00AD324E">
      <w:pPr>
        <w:tabs>
          <w:tab w:val="left" w:pos="720"/>
        </w:tabs>
        <w:spacing w:line="480" w:lineRule="auto"/>
        <w:jc w:val="both"/>
      </w:pPr>
    </w:p>
    <w:p w14:paraId="64927194" w14:textId="77777777" w:rsidR="00B628A6" w:rsidRDefault="00B628A6" w:rsidP="00AD324E">
      <w:pPr>
        <w:tabs>
          <w:tab w:val="left" w:pos="720"/>
        </w:tabs>
        <w:spacing w:line="480" w:lineRule="auto"/>
        <w:jc w:val="both"/>
      </w:pPr>
    </w:p>
    <w:p w14:paraId="0F2C7A84" w14:textId="77777777" w:rsidR="00B628A6" w:rsidRDefault="00B628A6" w:rsidP="00AD324E">
      <w:pPr>
        <w:tabs>
          <w:tab w:val="left" w:pos="720"/>
        </w:tabs>
        <w:spacing w:line="480" w:lineRule="auto"/>
        <w:jc w:val="both"/>
      </w:pPr>
    </w:p>
    <w:p w14:paraId="0F0FBC4A" w14:textId="77777777" w:rsidR="00B628A6" w:rsidRDefault="00B628A6" w:rsidP="00AD324E">
      <w:pPr>
        <w:tabs>
          <w:tab w:val="left" w:pos="720"/>
        </w:tabs>
        <w:spacing w:line="480" w:lineRule="auto"/>
        <w:jc w:val="both"/>
      </w:pPr>
    </w:p>
    <w:p w14:paraId="32263EF9" w14:textId="77777777" w:rsidR="00B628A6" w:rsidRDefault="00B628A6" w:rsidP="00AD324E">
      <w:pPr>
        <w:tabs>
          <w:tab w:val="left" w:pos="720"/>
        </w:tabs>
        <w:spacing w:line="480" w:lineRule="auto"/>
        <w:jc w:val="both"/>
      </w:pPr>
    </w:p>
    <w:p w14:paraId="4843D45B" w14:textId="77777777" w:rsidR="00B628A6" w:rsidRDefault="00B628A6" w:rsidP="00AD324E">
      <w:pPr>
        <w:tabs>
          <w:tab w:val="left" w:pos="720"/>
        </w:tabs>
        <w:spacing w:line="480" w:lineRule="auto"/>
        <w:jc w:val="both"/>
      </w:pPr>
    </w:p>
    <w:p w14:paraId="5F8011AA" w14:textId="77777777" w:rsidR="00B628A6" w:rsidRDefault="00B628A6" w:rsidP="00AD324E">
      <w:pPr>
        <w:tabs>
          <w:tab w:val="left" w:pos="720"/>
        </w:tabs>
        <w:spacing w:line="480" w:lineRule="auto"/>
        <w:jc w:val="both"/>
      </w:pPr>
    </w:p>
    <w:p w14:paraId="7E07C222" w14:textId="77777777" w:rsidR="00B628A6" w:rsidRPr="00B628A6" w:rsidRDefault="00B628A6" w:rsidP="00387FB8">
      <w:pPr>
        <w:keepNext/>
        <w:spacing w:before="240" w:line="480" w:lineRule="auto"/>
        <w:ind w:left="284" w:hanging="284"/>
        <w:jc w:val="both"/>
        <w:rPr>
          <w:b/>
          <w:bCs/>
        </w:rPr>
      </w:pPr>
      <w:r w:rsidRPr="00B628A6">
        <w:rPr>
          <w:b/>
          <w:bCs/>
        </w:rPr>
        <w:lastRenderedPageBreak/>
        <w:t>Appendix A</w:t>
      </w:r>
    </w:p>
    <w:p w14:paraId="5F09446D" w14:textId="50970FBD" w:rsidR="00B628A6" w:rsidRPr="00387FB8" w:rsidRDefault="00387FB8" w:rsidP="00387FB8">
      <w:pPr>
        <w:tabs>
          <w:tab w:val="left" w:pos="720"/>
        </w:tabs>
        <w:spacing w:line="480" w:lineRule="auto"/>
        <w:jc w:val="center"/>
        <w:rPr>
          <w:b/>
          <w:bCs/>
        </w:rPr>
      </w:pPr>
      <w:r w:rsidRPr="00387FB8">
        <w:rPr>
          <w:b/>
          <w:bCs/>
        </w:rPr>
        <w:t>BẢNG HỎI VỀ TẢI NHẬN THỨC (COGNITIVE LOAD QUESTIONNAIRE)</w:t>
      </w:r>
    </w:p>
    <w:p w14:paraId="2DDE259E" w14:textId="7997CFA3" w:rsidR="00387FB8" w:rsidRDefault="00387FB8" w:rsidP="00387FB8">
      <w:pPr>
        <w:tabs>
          <w:tab w:val="left" w:pos="720"/>
        </w:tabs>
        <w:spacing w:line="480" w:lineRule="auto"/>
        <w:jc w:val="both"/>
      </w:pPr>
      <w:proofErr w:type="spellStart"/>
      <w:r w:rsidRPr="00387FB8">
        <w:rPr>
          <w:b/>
          <w:bCs/>
        </w:rPr>
        <w:t>Hướng</w:t>
      </w:r>
      <w:proofErr w:type="spellEnd"/>
      <w:r w:rsidRPr="00387FB8">
        <w:rPr>
          <w:b/>
          <w:bCs/>
        </w:rPr>
        <w:t xml:space="preserve"> </w:t>
      </w:r>
      <w:proofErr w:type="spellStart"/>
      <w:r w:rsidRPr="00387FB8">
        <w:rPr>
          <w:b/>
          <w:bCs/>
        </w:rPr>
        <w:t>dẫn</w:t>
      </w:r>
      <w:proofErr w:type="spellEnd"/>
      <w:r>
        <w:t xml:space="preserve">: Vui </w:t>
      </w:r>
      <w:proofErr w:type="spellStart"/>
      <w:r>
        <w:t>lòng</w:t>
      </w:r>
      <w:proofErr w:type="spellEnd"/>
      <w:r>
        <w:t xml:space="preserve"> </w:t>
      </w:r>
      <w:proofErr w:type="spellStart"/>
      <w:r>
        <w:t>cho</w:t>
      </w:r>
      <w:proofErr w:type="spellEnd"/>
      <w:r>
        <w:t xml:space="preserve"> </w:t>
      </w:r>
      <w:proofErr w:type="spellStart"/>
      <w:r>
        <w:t>biết</w:t>
      </w:r>
      <w:proofErr w:type="spellEnd"/>
      <w:r>
        <w:t xml:space="preserve"> </w:t>
      </w:r>
      <w:proofErr w:type="spellStart"/>
      <w:r>
        <w:t>mức</w:t>
      </w:r>
      <w:proofErr w:type="spellEnd"/>
      <w:r>
        <w:t xml:space="preserve"> </w:t>
      </w:r>
      <w:proofErr w:type="spellStart"/>
      <w:r>
        <w:t>độ</w:t>
      </w:r>
      <w:proofErr w:type="spellEnd"/>
      <w:r>
        <w:t xml:space="preserve"> </w:t>
      </w:r>
      <w:proofErr w:type="spellStart"/>
      <w:r>
        <w:t>đồng</w:t>
      </w:r>
      <w:proofErr w:type="spellEnd"/>
      <w:r>
        <w:t xml:space="preserve"> ý </w:t>
      </w:r>
      <w:proofErr w:type="spellStart"/>
      <w:r>
        <w:t>của</w:t>
      </w:r>
      <w:proofErr w:type="spellEnd"/>
      <w:r>
        <w:t xml:space="preserve"> Anh/</w:t>
      </w:r>
      <w:proofErr w:type="spellStart"/>
      <w:r>
        <w:t>Chị</w:t>
      </w:r>
      <w:proofErr w:type="spellEnd"/>
      <w:r>
        <w:t xml:space="preserve"> </w:t>
      </w:r>
      <w:proofErr w:type="spellStart"/>
      <w:r>
        <w:t>với</w:t>
      </w:r>
      <w:proofErr w:type="spellEnd"/>
      <w:r>
        <w:t xml:space="preserve"> </w:t>
      </w:r>
      <w:proofErr w:type="spellStart"/>
      <w:r>
        <w:t>mỗi</w:t>
      </w:r>
      <w:proofErr w:type="spellEnd"/>
      <w:r>
        <w:t xml:space="preserve"> </w:t>
      </w:r>
      <w:proofErr w:type="spellStart"/>
      <w:r>
        <w:t>phát</w:t>
      </w:r>
      <w:proofErr w:type="spellEnd"/>
      <w:r>
        <w:t xml:space="preserve"> </w:t>
      </w:r>
      <w:proofErr w:type="spellStart"/>
      <w:r>
        <w:t>biểu</w:t>
      </w:r>
      <w:proofErr w:type="spellEnd"/>
      <w:r>
        <w:t xml:space="preserve"> </w:t>
      </w:r>
      <w:proofErr w:type="spellStart"/>
      <w:r>
        <w:t>dưới</w:t>
      </w:r>
      <w:proofErr w:type="spellEnd"/>
      <w:r>
        <w:t xml:space="preserve"> </w:t>
      </w:r>
      <w:proofErr w:type="spellStart"/>
      <w:r>
        <w:t>đây</w:t>
      </w:r>
      <w:proofErr w:type="spellEnd"/>
      <w:r>
        <w:t xml:space="preserve"> </w:t>
      </w:r>
      <w:proofErr w:type="spellStart"/>
      <w:r>
        <w:t>dựa</w:t>
      </w:r>
      <w:proofErr w:type="spellEnd"/>
      <w:r>
        <w:t xml:space="preserve"> </w:t>
      </w:r>
      <w:proofErr w:type="spellStart"/>
      <w:r>
        <w:t>trên</w:t>
      </w:r>
      <w:proofErr w:type="spellEnd"/>
      <w:r>
        <w:t xml:space="preserve"> </w:t>
      </w:r>
      <w:proofErr w:type="spellStart"/>
      <w:r>
        <w:t>trải</w:t>
      </w:r>
      <w:proofErr w:type="spellEnd"/>
      <w:r>
        <w:t xml:space="preserve"> </w:t>
      </w:r>
      <w:proofErr w:type="spellStart"/>
      <w:r>
        <w:t>nghiệm</w:t>
      </w:r>
      <w:proofErr w:type="spellEnd"/>
      <w:r>
        <w:t xml:space="preserve"> </w:t>
      </w:r>
      <w:proofErr w:type="spellStart"/>
      <w:r>
        <w:t>của</w:t>
      </w:r>
      <w:proofErr w:type="spellEnd"/>
      <w:r>
        <w:t xml:space="preserve"> Anh/</w:t>
      </w:r>
      <w:proofErr w:type="spellStart"/>
      <w:r>
        <w:t>Chị</w:t>
      </w:r>
      <w:proofErr w:type="spellEnd"/>
      <w:r>
        <w:t xml:space="preserve"> </w:t>
      </w:r>
      <w:proofErr w:type="spellStart"/>
      <w:r>
        <w:t>khi</w:t>
      </w:r>
      <w:proofErr w:type="spellEnd"/>
      <w:r>
        <w:t xml:space="preserve"> </w:t>
      </w:r>
      <w:proofErr w:type="spellStart"/>
      <w:r>
        <w:t>tham</w:t>
      </w:r>
      <w:proofErr w:type="spellEnd"/>
      <w:r>
        <w:t xml:space="preserve"> </w:t>
      </w:r>
      <w:proofErr w:type="spellStart"/>
      <w:r>
        <w:t>gia</w:t>
      </w:r>
      <w:proofErr w:type="spellEnd"/>
      <w:r>
        <w:t xml:space="preserve"> </w:t>
      </w:r>
      <w:proofErr w:type="spellStart"/>
      <w:r>
        <w:t>các</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 xml:space="preserve"> </w:t>
      </w:r>
      <w:proofErr w:type="spellStart"/>
      <w:r>
        <w:t>có</w:t>
      </w:r>
      <w:proofErr w:type="spellEnd"/>
      <w:r>
        <w:t xml:space="preserve"> </w:t>
      </w:r>
      <w:proofErr w:type="spellStart"/>
      <w:r>
        <w:t>sự</w:t>
      </w:r>
      <w:proofErr w:type="spellEnd"/>
      <w:r>
        <w:t xml:space="preserve"> </w:t>
      </w:r>
      <w:proofErr w:type="spellStart"/>
      <w:r>
        <w:t>hỗ</w:t>
      </w:r>
      <w:proofErr w:type="spellEnd"/>
      <w:r>
        <w:t xml:space="preserve"> </w:t>
      </w:r>
      <w:proofErr w:type="spellStart"/>
      <w:r>
        <w:t>trợ</w:t>
      </w:r>
      <w:proofErr w:type="spellEnd"/>
      <w:r>
        <w:t xml:space="preserve"> </w:t>
      </w:r>
      <w:proofErr w:type="spellStart"/>
      <w:r>
        <w:t>của</w:t>
      </w:r>
      <w:proofErr w:type="spellEnd"/>
      <w:r>
        <w:t xml:space="preserve"> ChatGPT.</w:t>
      </w:r>
    </w:p>
    <w:p w14:paraId="02F8CFA6" w14:textId="3BC116E3" w:rsidR="00387FB8" w:rsidRDefault="00387FB8" w:rsidP="00387FB8">
      <w:pPr>
        <w:tabs>
          <w:tab w:val="left" w:pos="720"/>
        </w:tabs>
        <w:spacing w:line="480" w:lineRule="auto"/>
        <w:jc w:val="both"/>
      </w:pPr>
      <w:r>
        <w:t xml:space="preserve">Thang </w:t>
      </w:r>
      <w:proofErr w:type="spellStart"/>
      <w:r>
        <w:t>đo</w:t>
      </w:r>
      <w:proofErr w:type="spellEnd"/>
      <w:r>
        <w:t>:</w:t>
      </w:r>
    </w:p>
    <w:p w14:paraId="1E42B34D" w14:textId="77777777" w:rsidR="00387FB8" w:rsidRDefault="00387FB8" w:rsidP="00387FB8">
      <w:pPr>
        <w:tabs>
          <w:tab w:val="left" w:pos="720"/>
        </w:tabs>
        <w:spacing w:line="480" w:lineRule="auto"/>
        <w:jc w:val="both"/>
      </w:pPr>
      <w:r>
        <w:t xml:space="preserve">1 = Hoàn </w:t>
      </w:r>
      <w:proofErr w:type="spellStart"/>
      <w:r>
        <w:t>toàn</w:t>
      </w:r>
      <w:proofErr w:type="spellEnd"/>
      <w:r>
        <w:t xml:space="preserve"> </w:t>
      </w:r>
      <w:proofErr w:type="spellStart"/>
      <w:r>
        <w:t>không</w:t>
      </w:r>
      <w:proofErr w:type="spellEnd"/>
      <w:r>
        <w:t xml:space="preserve"> </w:t>
      </w:r>
      <w:proofErr w:type="spellStart"/>
      <w:r>
        <w:t>đồng</w:t>
      </w:r>
      <w:proofErr w:type="spellEnd"/>
      <w:r>
        <w:t xml:space="preserve"> ý</w:t>
      </w:r>
    </w:p>
    <w:p w14:paraId="7FE559F4" w14:textId="77777777" w:rsidR="00387FB8" w:rsidRDefault="00387FB8" w:rsidP="00387FB8">
      <w:pPr>
        <w:tabs>
          <w:tab w:val="left" w:pos="720"/>
        </w:tabs>
        <w:spacing w:line="480" w:lineRule="auto"/>
        <w:jc w:val="both"/>
      </w:pPr>
      <w:r>
        <w:t xml:space="preserve">2 = </w:t>
      </w:r>
      <w:proofErr w:type="spellStart"/>
      <w:r>
        <w:t>Không</w:t>
      </w:r>
      <w:proofErr w:type="spellEnd"/>
      <w:r>
        <w:t xml:space="preserve"> </w:t>
      </w:r>
      <w:proofErr w:type="spellStart"/>
      <w:r>
        <w:t>đồng</w:t>
      </w:r>
      <w:proofErr w:type="spellEnd"/>
      <w:r>
        <w:t xml:space="preserve"> ý</w:t>
      </w:r>
    </w:p>
    <w:p w14:paraId="1CB8D357" w14:textId="77777777" w:rsidR="00387FB8" w:rsidRDefault="00387FB8" w:rsidP="00387FB8">
      <w:pPr>
        <w:tabs>
          <w:tab w:val="left" w:pos="720"/>
        </w:tabs>
        <w:spacing w:line="480" w:lineRule="auto"/>
        <w:jc w:val="both"/>
      </w:pPr>
      <w:r>
        <w:t xml:space="preserve">3 = </w:t>
      </w:r>
      <w:proofErr w:type="spellStart"/>
      <w:r>
        <w:t>Không</w:t>
      </w:r>
      <w:proofErr w:type="spellEnd"/>
      <w:r>
        <w:t xml:space="preserve"> </w:t>
      </w:r>
      <w:proofErr w:type="spellStart"/>
      <w:r>
        <w:t>đồng</w:t>
      </w:r>
      <w:proofErr w:type="spellEnd"/>
      <w:r>
        <w:t xml:space="preserve"> ý </w:t>
      </w:r>
      <w:proofErr w:type="spellStart"/>
      <w:r>
        <w:t>cũng</w:t>
      </w:r>
      <w:proofErr w:type="spellEnd"/>
      <w:r>
        <w:t xml:space="preserve"> </w:t>
      </w:r>
      <w:proofErr w:type="spellStart"/>
      <w:r>
        <w:t>không</w:t>
      </w:r>
      <w:proofErr w:type="spellEnd"/>
      <w:r>
        <w:t xml:space="preserve"> </w:t>
      </w:r>
      <w:proofErr w:type="spellStart"/>
      <w:r>
        <w:t>phản</w:t>
      </w:r>
      <w:proofErr w:type="spellEnd"/>
      <w:r>
        <w:t xml:space="preserve"> </w:t>
      </w:r>
      <w:proofErr w:type="spellStart"/>
      <w:r>
        <w:t>đối</w:t>
      </w:r>
      <w:proofErr w:type="spellEnd"/>
    </w:p>
    <w:p w14:paraId="79906115" w14:textId="77777777" w:rsidR="00387FB8" w:rsidRDefault="00387FB8" w:rsidP="00387FB8">
      <w:pPr>
        <w:tabs>
          <w:tab w:val="left" w:pos="720"/>
        </w:tabs>
        <w:spacing w:line="480" w:lineRule="auto"/>
        <w:jc w:val="both"/>
      </w:pPr>
      <w:r>
        <w:t xml:space="preserve">4 = </w:t>
      </w:r>
      <w:proofErr w:type="spellStart"/>
      <w:r>
        <w:t>Đồng</w:t>
      </w:r>
      <w:proofErr w:type="spellEnd"/>
      <w:r>
        <w:t xml:space="preserve"> ý</w:t>
      </w:r>
    </w:p>
    <w:p w14:paraId="2BB18F8D" w14:textId="32E9507A" w:rsidR="00387FB8" w:rsidRDefault="00387FB8" w:rsidP="00387FB8">
      <w:pPr>
        <w:tabs>
          <w:tab w:val="left" w:pos="720"/>
        </w:tabs>
        <w:spacing w:line="480" w:lineRule="auto"/>
        <w:jc w:val="both"/>
      </w:pPr>
      <w:r>
        <w:t xml:space="preserve">5 = Hoàn </w:t>
      </w:r>
      <w:proofErr w:type="spellStart"/>
      <w:r>
        <w:t>toàn</w:t>
      </w:r>
      <w:proofErr w:type="spellEnd"/>
      <w:r>
        <w:t xml:space="preserve"> </w:t>
      </w:r>
      <w:proofErr w:type="spellStart"/>
      <w:r>
        <w:t>đồng</w:t>
      </w:r>
      <w:proofErr w:type="spellEnd"/>
      <w:r>
        <w:t xml:space="preserve"> ý</w:t>
      </w:r>
    </w:p>
    <w:p w14:paraId="55DC3940" w14:textId="77777777" w:rsidR="00387FB8" w:rsidRPr="00387FB8" w:rsidRDefault="00387FB8" w:rsidP="00387FB8">
      <w:pPr>
        <w:tabs>
          <w:tab w:val="left" w:pos="720"/>
        </w:tabs>
        <w:spacing w:line="480" w:lineRule="auto"/>
        <w:jc w:val="both"/>
        <w:rPr>
          <w:b/>
          <w:bCs/>
        </w:rPr>
      </w:pPr>
      <w:proofErr w:type="spellStart"/>
      <w:r w:rsidRPr="00387FB8">
        <w:rPr>
          <w:b/>
          <w:bCs/>
        </w:rPr>
        <w:t>Phần</w:t>
      </w:r>
      <w:proofErr w:type="spellEnd"/>
      <w:r w:rsidRPr="00387FB8">
        <w:rPr>
          <w:b/>
          <w:bCs/>
        </w:rPr>
        <w:t xml:space="preserve"> 1. Thông tin </w:t>
      </w:r>
      <w:proofErr w:type="spellStart"/>
      <w:r w:rsidRPr="00387FB8">
        <w:rPr>
          <w:b/>
          <w:bCs/>
        </w:rPr>
        <w:t>cá</w:t>
      </w:r>
      <w:proofErr w:type="spellEnd"/>
      <w:r w:rsidRPr="00387FB8">
        <w:rPr>
          <w:b/>
          <w:bCs/>
        </w:rPr>
        <w:t xml:space="preserve"> </w:t>
      </w:r>
      <w:proofErr w:type="spellStart"/>
      <w:r w:rsidRPr="00387FB8">
        <w:rPr>
          <w:b/>
          <w:bCs/>
        </w:rPr>
        <w:t>nhân</w:t>
      </w:r>
      <w:proofErr w:type="spellEnd"/>
    </w:p>
    <w:p w14:paraId="7C8D1DFE" w14:textId="0205AB80" w:rsidR="00387FB8" w:rsidRPr="00387FB8" w:rsidRDefault="00387FB8" w:rsidP="00387FB8">
      <w:pPr>
        <w:tabs>
          <w:tab w:val="left" w:pos="720"/>
        </w:tabs>
        <w:spacing w:line="480" w:lineRule="auto"/>
        <w:ind w:left="720"/>
        <w:jc w:val="both"/>
      </w:pPr>
      <w:r>
        <w:rPr>
          <w:b/>
          <w:bCs/>
        </w:rPr>
        <w:t xml:space="preserve">- </w:t>
      </w:r>
      <w:proofErr w:type="spellStart"/>
      <w:r w:rsidRPr="00387FB8">
        <w:rPr>
          <w:b/>
          <w:bCs/>
        </w:rPr>
        <w:t>Giới</w:t>
      </w:r>
      <w:proofErr w:type="spellEnd"/>
      <w:r w:rsidRPr="00387FB8">
        <w:rPr>
          <w:b/>
          <w:bCs/>
        </w:rPr>
        <w:t xml:space="preserve"> </w:t>
      </w:r>
      <w:proofErr w:type="spellStart"/>
      <w:r w:rsidRPr="00387FB8">
        <w:rPr>
          <w:b/>
          <w:bCs/>
        </w:rPr>
        <w:t>tính</w:t>
      </w:r>
      <w:proofErr w:type="spellEnd"/>
      <w:r w:rsidRPr="00387FB8">
        <w:rPr>
          <w:b/>
          <w:bCs/>
        </w:rPr>
        <w:t>:</w:t>
      </w:r>
      <w:r w:rsidRPr="00387FB8">
        <w:t xml:space="preserve"> ____________________ </w:t>
      </w:r>
    </w:p>
    <w:p w14:paraId="2E3AC3E4" w14:textId="63279ED8" w:rsidR="00387FB8" w:rsidRDefault="00387FB8" w:rsidP="00387FB8">
      <w:pPr>
        <w:tabs>
          <w:tab w:val="left" w:pos="720"/>
        </w:tabs>
        <w:spacing w:line="480" w:lineRule="auto"/>
        <w:ind w:left="720"/>
        <w:jc w:val="both"/>
      </w:pPr>
      <w:r>
        <w:rPr>
          <w:b/>
          <w:bCs/>
        </w:rPr>
        <w:t xml:space="preserve">- </w:t>
      </w:r>
      <w:r w:rsidRPr="00387FB8">
        <w:rPr>
          <w:b/>
          <w:bCs/>
        </w:rPr>
        <w:t xml:space="preserve">Chuyên </w:t>
      </w:r>
      <w:proofErr w:type="spellStart"/>
      <w:r w:rsidRPr="00387FB8">
        <w:rPr>
          <w:b/>
          <w:bCs/>
        </w:rPr>
        <w:t>ngành</w:t>
      </w:r>
      <w:proofErr w:type="spellEnd"/>
      <w:r w:rsidRPr="00387FB8">
        <w:rPr>
          <w:b/>
          <w:bCs/>
        </w:rPr>
        <w:t>:</w:t>
      </w:r>
      <w:r w:rsidRPr="00387FB8">
        <w:t xml:space="preserve"> ____________________</w:t>
      </w:r>
    </w:p>
    <w:p w14:paraId="0EE62874" w14:textId="75E6EE97" w:rsidR="00387FB8" w:rsidRPr="00387FB8" w:rsidRDefault="00387FB8" w:rsidP="00387FB8">
      <w:pPr>
        <w:tabs>
          <w:tab w:val="left" w:pos="720"/>
        </w:tabs>
        <w:spacing w:line="480" w:lineRule="auto"/>
        <w:jc w:val="both"/>
        <w:rPr>
          <w:b/>
          <w:bCs/>
        </w:rPr>
      </w:pPr>
      <w:proofErr w:type="spellStart"/>
      <w:r w:rsidRPr="00387FB8">
        <w:rPr>
          <w:b/>
          <w:bCs/>
        </w:rPr>
        <w:t>Phần</w:t>
      </w:r>
      <w:proofErr w:type="spellEnd"/>
      <w:r w:rsidRPr="00387FB8">
        <w:rPr>
          <w:b/>
          <w:bCs/>
        </w:rPr>
        <w:t xml:space="preserve"> 2. </w:t>
      </w:r>
      <w:proofErr w:type="spellStart"/>
      <w:r w:rsidRPr="00387FB8">
        <w:rPr>
          <w:b/>
          <w:bCs/>
        </w:rPr>
        <w:t>Tải</w:t>
      </w:r>
      <w:proofErr w:type="spellEnd"/>
      <w:r w:rsidRPr="00387FB8">
        <w:rPr>
          <w:b/>
          <w:bCs/>
        </w:rPr>
        <w:t xml:space="preserve"> </w:t>
      </w:r>
      <w:proofErr w:type="spellStart"/>
      <w:r w:rsidRPr="00387FB8">
        <w:rPr>
          <w:b/>
          <w:bCs/>
        </w:rPr>
        <w:t>nhận</w:t>
      </w:r>
      <w:proofErr w:type="spellEnd"/>
      <w:r w:rsidRPr="00387FB8">
        <w:rPr>
          <w:b/>
          <w:bCs/>
        </w:rPr>
        <w:t xml:space="preserve"> </w:t>
      </w:r>
      <w:proofErr w:type="spellStart"/>
      <w:r w:rsidRPr="00387FB8">
        <w:rPr>
          <w:b/>
          <w:bCs/>
        </w:rPr>
        <w:t>thức</w:t>
      </w:r>
      <w:proofErr w:type="spellEnd"/>
      <w:r w:rsidRPr="00387FB8">
        <w:rPr>
          <w:b/>
          <w:bCs/>
        </w:rPr>
        <w:t xml:space="preserve"> </w:t>
      </w:r>
      <w:proofErr w:type="spellStart"/>
      <w:r w:rsidRPr="00387FB8">
        <w:rPr>
          <w:b/>
          <w:bCs/>
        </w:rPr>
        <w:t>nội</w:t>
      </w:r>
      <w:proofErr w:type="spellEnd"/>
      <w:r w:rsidRPr="00387FB8">
        <w:rPr>
          <w:b/>
          <w:bCs/>
        </w:rPr>
        <w:t xml:space="preserve"> </w:t>
      </w:r>
      <w:proofErr w:type="spellStart"/>
      <w:r w:rsidRPr="00387FB8">
        <w:rPr>
          <w:b/>
          <w:bCs/>
        </w:rPr>
        <w:t>tại</w:t>
      </w:r>
      <w:proofErr w:type="spellEnd"/>
      <w:r w:rsidRPr="00387FB8">
        <w:rPr>
          <w:b/>
          <w:bCs/>
        </w:rPr>
        <w:t xml:space="preserve"> (Intrinsic Cognitive Load)</w:t>
      </w:r>
    </w:p>
    <w:p w14:paraId="4E541189" w14:textId="77777777" w:rsidR="00387FB8" w:rsidRDefault="00387FB8" w:rsidP="00387FB8">
      <w:pPr>
        <w:tabs>
          <w:tab w:val="left" w:pos="720"/>
        </w:tabs>
        <w:spacing w:line="480" w:lineRule="auto"/>
        <w:jc w:val="both"/>
      </w:pPr>
      <w:r>
        <w:t>STT</w:t>
      </w:r>
      <w:r>
        <w:tab/>
      </w:r>
      <w:proofErr w:type="spellStart"/>
      <w:r>
        <w:t>Phát</w:t>
      </w:r>
      <w:proofErr w:type="spellEnd"/>
      <w:r>
        <w:t xml:space="preserve"> </w:t>
      </w:r>
      <w:proofErr w:type="spellStart"/>
      <w:r>
        <w:t>biểu</w:t>
      </w:r>
      <w:proofErr w:type="spellEnd"/>
    </w:p>
    <w:p w14:paraId="0A3183F9" w14:textId="268AD7F4" w:rsidR="00387FB8" w:rsidRDefault="00387FB8" w:rsidP="00387FB8">
      <w:pPr>
        <w:tabs>
          <w:tab w:val="left" w:pos="720"/>
        </w:tabs>
        <w:spacing w:line="480" w:lineRule="auto"/>
        <w:jc w:val="both"/>
      </w:pPr>
      <w:r>
        <w:t>1</w:t>
      </w:r>
      <w:r>
        <w:t xml:space="preserve">. </w:t>
      </w:r>
      <w:r>
        <w:t xml:space="preserve">Các </w:t>
      </w:r>
      <w:proofErr w:type="spellStart"/>
      <w:r>
        <w:t>bài</w:t>
      </w:r>
      <w:proofErr w:type="spellEnd"/>
      <w:r>
        <w:t xml:space="preserve"> </w:t>
      </w:r>
      <w:proofErr w:type="spellStart"/>
      <w:r>
        <w:t>nghe</w:t>
      </w:r>
      <w:proofErr w:type="spellEnd"/>
      <w:r>
        <w:t xml:space="preserve"> </w:t>
      </w:r>
      <w:proofErr w:type="spellStart"/>
      <w:r>
        <w:t>chứa</w:t>
      </w:r>
      <w:proofErr w:type="spellEnd"/>
      <w:r>
        <w:t xml:space="preserve"> </w:t>
      </w:r>
      <w:proofErr w:type="spellStart"/>
      <w:r>
        <w:t>nhiều</w:t>
      </w:r>
      <w:proofErr w:type="spellEnd"/>
      <w:r>
        <w:t xml:space="preserve"> </w:t>
      </w:r>
      <w:proofErr w:type="spellStart"/>
      <w:r>
        <w:t>thông</w:t>
      </w:r>
      <w:proofErr w:type="spellEnd"/>
      <w:r>
        <w:t xml:space="preserve"> tin </w:t>
      </w:r>
      <w:proofErr w:type="spellStart"/>
      <w:r>
        <w:t>mà</w:t>
      </w:r>
      <w:proofErr w:type="spellEnd"/>
      <w:r>
        <w:t xml:space="preserve"> </w:t>
      </w:r>
      <w:proofErr w:type="spellStart"/>
      <w:r>
        <w:t>tôi</w:t>
      </w:r>
      <w:proofErr w:type="spellEnd"/>
      <w:r>
        <w:t xml:space="preserve"> </w:t>
      </w:r>
      <w:proofErr w:type="spellStart"/>
      <w:r>
        <w:t>cần</w:t>
      </w:r>
      <w:proofErr w:type="spellEnd"/>
      <w:r>
        <w:t xml:space="preserve"> </w:t>
      </w:r>
      <w:proofErr w:type="spellStart"/>
      <w:r>
        <w:t>phải</w:t>
      </w:r>
      <w:proofErr w:type="spellEnd"/>
      <w:r>
        <w:t xml:space="preserve"> </w:t>
      </w:r>
      <w:proofErr w:type="spellStart"/>
      <w:r>
        <w:t>hiểu</w:t>
      </w:r>
      <w:proofErr w:type="spellEnd"/>
      <w:r>
        <w:t>.</w:t>
      </w:r>
    </w:p>
    <w:p w14:paraId="28A09AB6" w14:textId="04065119" w:rsidR="00387FB8" w:rsidRDefault="00387FB8" w:rsidP="00387FB8">
      <w:pPr>
        <w:tabs>
          <w:tab w:val="left" w:pos="720"/>
        </w:tabs>
        <w:spacing w:line="480" w:lineRule="auto"/>
        <w:jc w:val="both"/>
      </w:pPr>
      <w:r>
        <w:t>2</w:t>
      </w:r>
      <w:r>
        <w:t xml:space="preserve">. </w:t>
      </w:r>
      <w:proofErr w:type="spellStart"/>
      <w:r>
        <w:t>Nội</w:t>
      </w:r>
      <w:proofErr w:type="spellEnd"/>
      <w:r>
        <w:t xml:space="preserve"> dung </w:t>
      </w:r>
      <w:proofErr w:type="spellStart"/>
      <w:r>
        <w:t>của</w:t>
      </w:r>
      <w:proofErr w:type="spellEnd"/>
      <w:r>
        <w:t xml:space="preserve"> </w:t>
      </w:r>
      <w:proofErr w:type="spellStart"/>
      <w:r>
        <w:t>các</w:t>
      </w:r>
      <w:proofErr w:type="spellEnd"/>
      <w:r>
        <w:t xml:space="preserve"> </w:t>
      </w:r>
      <w:proofErr w:type="spellStart"/>
      <w:r>
        <w:t>bài</w:t>
      </w:r>
      <w:proofErr w:type="spellEnd"/>
      <w:r>
        <w:t xml:space="preserve"> </w:t>
      </w:r>
      <w:proofErr w:type="spellStart"/>
      <w:r>
        <w:t>nghe</w:t>
      </w:r>
      <w:proofErr w:type="spellEnd"/>
      <w:r>
        <w:t xml:space="preserve"> </w:t>
      </w:r>
      <w:proofErr w:type="spellStart"/>
      <w:r>
        <w:t>khá</w:t>
      </w:r>
      <w:proofErr w:type="spellEnd"/>
      <w:r>
        <w:t xml:space="preserve"> </w:t>
      </w:r>
      <w:proofErr w:type="spellStart"/>
      <w:r>
        <w:t>phức</w:t>
      </w:r>
      <w:proofErr w:type="spellEnd"/>
      <w:r>
        <w:t xml:space="preserve"> </w:t>
      </w:r>
      <w:proofErr w:type="spellStart"/>
      <w:r>
        <w:t>tạp</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tôi</w:t>
      </w:r>
      <w:proofErr w:type="spellEnd"/>
      <w:r>
        <w:t>.</w:t>
      </w:r>
    </w:p>
    <w:p w14:paraId="345BF4E3" w14:textId="70341244" w:rsidR="00387FB8" w:rsidRDefault="00387FB8" w:rsidP="00387FB8">
      <w:pPr>
        <w:tabs>
          <w:tab w:val="left" w:pos="720"/>
        </w:tabs>
        <w:spacing w:line="480" w:lineRule="auto"/>
        <w:jc w:val="both"/>
      </w:pPr>
      <w:r>
        <w:t>3</w:t>
      </w:r>
      <w:r>
        <w:t xml:space="preserve">. </w:t>
      </w:r>
      <w:proofErr w:type="spellStart"/>
      <w:r>
        <w:t>Tôi</w:t>
      </w:r>
      <w:proofErr w:type="spellEnd"/>
      <w:r>
        <w:t xml:space="preserve"> </w:t>
      </w:r>
      <w:proofErr w:type="spellStart"/>
      <w:r>
        <w:t>phải</w:t>
      </w:r>
      <w:proofErr w:type="spellEnd"/>
      <w:r>
        <w:t xml:space="preserve"> </w:t>
      </w:r>
      <w:proofErr w:type="spellStart"/>
      <w:r>
        <w:t>xử</w:t>
      </w:r>
      <w:proofErr w:type="spellEnd"/>
      <w:r>
        <w:t xml:space="preserve"> </w:t>
      </w:r>
      <w:proofErr w:type="spellStart"/>
      <w:r>
        <w:t>lý</w:t>
      </w:r>
      <w:proofErr w:type="spellEnd"/>
      <w:r>
        <w:t xml:space="preserve"> </w:t>
      </w:r>
      <w:proofErr w:type="spellStart"/>
      <w:r>
        <w:t>nhiều</w:t>
      </w:r>
      <w:proofErr w:type="spellEnd"/>
      <w:r>
        <w:t xml:space="preserve"> ý </w:t>
      </w:r>
      <w:proofErr w:type="spellStart"/>
      <w:r>
        <w:t>tưởng</w:t>
      </w:r>
      <w:proofErr w:type="spellEnd"/>
      <w:r>
        <w:t xml:space="preserve"> </w:t>
      </w:r>
      <w:proofErr w:type="spellStart"/>
      <w:r>
        <w:t>cùng</w:t>
      </w:r>
      <w:proofErr w:type="spellEnd"/>
      <w:r>
        <w:t xml:space="preserve"> </w:t>
      </w:r>
      <w:proofErr w:type="spellStart"/>
      <w:r>
        <w:t>lúc</w:t>
      </w:r>
      <w:proofErr w:type="spellEnd"/>
      <w:r>
        <w:t xml:space="preserve"> </w:t>
      </w:r>
      <w:proofErr w:type="spellStart"/>
      <w:r>
        <w:t>khi</w:t>
      </w:r>
      <w:proofErr w:type="spellEnd"/>
      <w:r>
        <w:t xml:space="preserve"> </w:t>
      </w:r>
      <w:proofErr w:type="spellStart"/>
      <w:r>
        <w:t>nghe</w:t>
      </w:r>
      <w:proofErr w:type="spellEnd"/>
      <w:r>
        <w:t>.</w:t>
      </w:r>
    </w:p>
    <w:p w14:paraId="46CE67DB" w14:textId="43800DBF" w:rsidR="00387FB8" w:rsidRDefault="00387FB8" w:rsidP="00387FB8">
      <w:pPr>
        <w:tabs>
          <w:tab w:val="left" w:pos="720"/>
        </w:tabs>
        <w:spacing w:line="480" w:lineRule="auto"/>
        <w:jc w:val="both"/>
      </w:pPr>
      <w:r>
        <w:t>4</w:t>
      </w:r>
      <w:r>
        <w:t xml:space="preserve">. </w:t>
      </w:r>
      <w:proofErr w:type="spellStart"/>
      <w:r>
        <w:t>Việc</w:t>
      </w:r>
      <w:proofErr w:type="spellEnd"/>
      <w:r>
        <w:t xml:space="preserve"> </w:t>
      </w:r>
      <w:proofErr w:type="spellStart"/>
      <w:r>
        <w:t>hiểu</w:t>
      </w:r>
      <w:proofErr w:type="spellEnd"/>
      <w:r>
        <w:t xml:space="preserve"> </w:t>
      </w:r>
      <w:proofErr w:type="spellStart"/>
      <w:r>
        <w:t>mối</w:t>
      </w:r>
      <w:proofErr w:type="spellEnd"/>
      <w:r>
        <w:t xml:space="preserve"> </w:t>
      </w:r>
      <w:proofErr w:type="spellStart"/>
      <w:r>
        <w:t>liên</w:t>
      </w:r>
      <w:proofErr w:type="spellEnd"/>
      <w:r>
        <w:t xml:space="preserve"> </w:t>
      </w:r>
      <w:proofErr w:type="spellStart"/>
      <w:r>
        <w:t>hệ</w:t>
      </w:r>
      <w:proofErr w:type="spellEnd"/>
      <w:r>
        <w:t xml:space="preserve"> </w:t>
      </w:r>
      <w:proofErr w:type="spellStart"/>
      <w:r>
        <w:t>giữa</w:t>
      </w:r>
      <w:proofErr w:type="spellEnd"/>
      <w:r>
        <w:t xml:space="preserve"> </w:t>
      </w:r>
      <w:proofErr w:type="spellStart"/>
      <w:r>
        <w:t>các</w:t>
      </w:r>
      <w:proofErr w:type="spellEnd"/>
      <w:r>
        <w:t xml:space="preserve"> ý </w:t>
      </w:r>
      <w:proofErr w:type="spellStart"/>
      <w:r>
        <w:t>trong</w:t>
      </w:r>
      <w:proofErr w:type="spellEnd"/>
      <w:r>
        <w:t xml:space="preserve"> </w:t>
      </w:r>
      <w:proofErr w:type="spellStart"/>
      <w:r>
        <w:t>bài</w:t>
      </w:r>
      <w:proofErr w:type="spellEnd"/>
      <w:r>
        <w:t xml:space="preserve"> </w:t>
      </w:r>
      <w:proofErr w:type="spellStart"/>
      <w:r>
        <w:t>nghe</w:t>
      </w:r>
      <w:proofErr w:type="spellEnd"/>
      <w:r>
        <w:t xml:space="preserve"> </w:t>
      </w:r>
      <w:proofErr w:type="spellStart"/>
      <w:r>
        <w:t>đòi</w:t>
      </w:r>
      <w:proofErr w:type="spellEnd"/>
      <w:r>
        <w:t xml:space="preserve"> </w:t>
      </w:r>
      <w:proofErr w:type="spellStart"/>
      <w:r>
        <w:t>hỏi</w:t>
      </w:r>
      <w:proofErr w:type="spellEnd"/>
      <w:r>
        <w:t xml:space="preserve"> </w:t>
      </w:r>
      <w:proofErr w:type="spellStart"/>
      <w:r>
        <w:t>nhiều</w:t>
      </w:r>
      <w:proofErr w:type="spellEnd"/>
      <w:r>
        <w:t xml:space="preserve"> </w:t>
      </w:r>
      <w:proofErr w:type="spellStart"/>
      <w:r>
        <w:t>nỗ</w:t>
      </w:r>
      <w:proofErr w:type="spellEnd"/>
      <w:r>
        <w:t xml:space="preserve"> </w:t>
      </w:r>
      <w:proofErr w:type="spellStart"/>
      <w:r>
        <w:t>lực</w:t>
      </w:r>
      <w:proofErr w:type="spellEnd"/>
      <w:r>
        <w:t xml:space="preserve"> </w:t>
      </w:r>
      <w:proofErr w:type="spellStart"/>
      <w:r>
        <w:t>tinh</w:t>
      </w:r>
      <w:proofErr w:type="spellEnd"/>
      <w:r>
        <w:t xml:space="preserve"> </w:t>
      </w:r>
      <w:proofErr w:type="spellStart"/>
      <w:r>
        <w:t>thần</w:t>
      </w:r>
      <w:proofErr w:type="spellEnd"/>
      <w:r>
        <w:t>.</w:t>
      </w:r>
    </w:p>
    <w:p w14:paraId="72872135" w14:textId="3D92F152" w:rsidR="00387FB8" w:rsidRDefault="00387FB8" w:rsidP="00387FB8">
      <w:pPr>
        <w:tabs>
          <w:tab w:val="left" w:pos="720"/>
        </w:tabs>
        <w:spacing w:line="480" w:lineRule="auto"/>
        <w:jc w:val="both"/>
      </w:pPr>
      <w:r>
        <w:t>5</w:t>
      </w:r>
      <w:r>
        <w:t xml:space="preserve">. </w:t>
      </w:r>
      <w:r>
        <w:t xml:space="preserve">Các </w:t>
      </w:r>
      <w:proofErr w:type="spellStart"/>
      <w:r>
        <w:t>bài</w:t>
      </w:r>
      <w:proofErr w:type="spellEnd"/>
      <w:r>
        <w:t xml:space="preserve"> </w:t>
      </w:r>
      <w:proofErr w:type="spellStart"/>
      <w:r>
        <w:t>nghe</w:t>
      </w:r>
      <w:proofErr w:type="spellEnd"/>
      <w:r>
        <w:t xml:space="preserve"> </w:t>
      </w:r>
      <w:proofErr w:type="spellStart"/>
      <w:r>
        <w:t>yêu</w:t>
      </w:r>
      <w:proofErr w:type="spellEnd"/>
      <w:r>
        <w:t xml:space="preserve"> </w:t>
      </w:r>
      <w:proofErr w:type="spellStart"/>
      <w:r>
        <w:t>cầu</w:t>
      </w:r>
      <w:proofErr w:type="spellEnd"/>
      <w:r>
        <w:t xml:space="preserve"> </w:t>
      </w:r>
      <w:proofErr w:type="spellStart"/>
      <w:r>
        <w:t>tôi</w:t>
      </w:r>
      <w:proofErr w:type="spellEnd"/>
      <w:r>
        <w:t xml:space="preserve"> </w:t>
      </w:r>
      <w:proofErr w:type="spellStart"/>
      <w:r>
        <w:t>phải</w:t>
      </w:r>
      <w:proofErr w:type="spellEnd"/>
      <w:r>
        <w:t xml:space="preserve"> </w:t>
      </w:r>
      <w:proofErr w:type="spellStart"/>
      <w:r>
        <w:t>ghi</w:t>
      </w:r>
      <w:proofErr w:type="spellEnd"/>
      <w:r>
        <w:t xml:space="preserve"> </w:t>
      </w:r>
      <w:proofErr w:type="spellStart"/>
      <w:r>
        <w:t>nhớ</w:t>
      </w:r>
      <w:proofErr w:type="spellEnd"/>
      <w:r>
        <w:t xml:space="preserve"> </w:t>
      </w:r>
      <w:proofErr w:type="spellStart"/>
      <w:r>
        <w:t>nhiều</w:t>
      </w:r>
      <w:proofErr w:type="spellEnd"/>
      <w:r>
        <w:t xml:space="preserve"> </w:t>
      </w:r>
      <w:proofErr w:type="spellStart"/>
      <w:r>
        <w:t>thông</w:t>
      </w:r>
      <w:proofErr w:type="spellEnd"/>
      <w:r>
        <w:t xml:space="preserve"> tin </w:t>
      </w:r>
      <w:proofErr w:type="spellStart"/>
      <w:r>
        <w:t>cùng</w:t>
      </w:r>
      <w:proofErr w:type="spellEnd"/>
      <w:r>
        <w:t xml:space="preserve"> </w:t>
      </w:r>
      <w:proofErr w:type="spellStart"/>
      <w:r>
        <w:t>một</w:t>
      </w:r>
      <w:proofErr w:type="spellEnd"/>
      <w:r>
        <w:t xml:space="preserve"> </w:t>
      </w:r>
      <w:proofErr w:type="spellStart"/>
      <w:r>
        <w:t>lúc</w:t>
      </w:r>
      <w:proofErr w:type="spellEnd"/>
      <w:r>
        <w:t>.</w:t>
      </w:r>
    </w:p>
    <w:p w14:paraId="1D60B167" w14:textId="77777777" w:rsidR="00387FB8" w:rsidRPr="00387FB8" w:rsidRDefault="00387FB8" w:rsidP="00387FB8">
      <w:pPr>
        <w:tabs>
          <w:tab w:val="left" w:pos="720"/>
        </w:tabs>
        <w:spacing w:line="480" w:lineRule="auto"/>
        <w:jc w:val="both"/>
        <w:rPr>
          <w:b/>
          <w:bCs/>
        </w:rPr>
      </w:pPr>
      <w:proofErr w:type="spellStart"/>
      <w:r w:rsidRPr="00387FB8">
        <w:rPr>
          <w:b/>
          <w:bCs/>
        </w:rPr>
        <w:t>Phần</w:t>
      </w:r>
      <w:proofErr w:type="spellEnd"/>
      <w:r w:rsidRPr="00387FB8">
        <w:rPr>
          <w:b/>
          <w:bCs/>
        </w:rPr>
        <w:t xml:space="preserve"> 3. </w:t>
      </w:r>
      <w:proofErr w:type="spellStart"/>
      <w:r w:rsidRPr="00387FB8">
        <w:rPr>
          <w:b/>
          <w:bCs/>
        </w:rPr>
        <w:t>Tải</w:t>
      </w:r>
      <w:proofErr w:type="spellEnd"/>
      <w:r w:rsidRPr="00387FB8">
        <w:rPr>
          <w:b/>
          <w:bCs/>
        </w:rPr>
        <w:t xml:space="preserve"> </w:t>
      </w:r>
      <w:proofErr w:type="spellStart"/>
      <w:r w:rsidRPr="00387FB8">
        <w:rPr>
          <w:b/>
          <w:bCs/>
        </w:rPr>
        <w:t>nhận</w:t>
      </w:r>
      <w:proofErr w:type="spellEnd"/>
      <w:r w:rsidRPr="00387FB8">
        <w:rPr>
          <w:b/>
          <w:bCs/>
        </w:rPr>
        <w:t xml:space="preserve"> </w:t>
      </w:r>
      <w:proofErr w:type="spellStart"/>
      <w:r w:rsidRPr="00387FB8">
        <w:rPr>
          <w:b/>
          <w:bCs/>
        </w:rPr>
        <w:t>thức</w:t>
      </w:r>
      <w:proofErr w:type="spellEnd"/>
      <w:r w:rsidRPr="00387FB8">
        <w:rPr>
          <w:b/>
          <w:bCs/>
        </w:rPr>
        <w:t xml:space="preserve"> </w:t>
      </w:r>
      <w:proofErr w:type="spellStart"/>
      <w:r w:rsidRPr="00387FB8">
        <w:rPr>
          <w:b/>
          <w:bCs/>
        </w:rPr>
        <w:t>ngoại</w:t>
      </w:r>
      <w:proofErr w:type="spellEnd"/>
      <w:r w:rsidRPr="00387FB8">
        <w:rPr>
          <w:b/>
          <w:bCs/>
        </w:rPr>
        <w:t xml:space="preserve"> </w:t>
      </w:r>
      <w:proofErr w:type="spellStart"/>
      <w:r w:rsidRPr="00387FB8">
        <w:rPr>
          <w:b/>
          <w:bCs/>
        </w:rPr>
        <w:t>tại</w:t>
      </w:r>
      <w:proofErr w:type="spellEnd"/>
      <w:r w:rsidRPr="00387FB8">
        <w:rPr>
          <w:b/>
          <w:bCs/>
        </w:rPr>
        <w:t xml:space="preserve"> (Extraneous Cognitive Load)</w:t>
      </w:r>
    </w:p>
    <w:p w14:paraId="269AD861" w14:textId="2F276207" w:rsidR="00387FB8" w:rsidRDefault="00387FB8" w:rsidP="00387FB8">
      <w:pPr>
        <w:tabs>
          <w:tab w:val="left" w:pos="720"/>
        </w:tabs>
        <w:spacing w:line="480" w:lineRule="auto"/>
        <w:jc w:val="both"/>
      </w:pPr>
      <w:r>
        <w:t>6</w:t>
      </w:r>
      <w:r>
        <w:t xml:space="preserve">. </w:t>
      </w:r>
      <w:proofErr w:type="spellStart"/>
      <w:r>
        <w:t>Phần</w:t>
      </w:r>
      <w:proofErr w:type="spellEnd"/>
      <w:r>
        <w:t xml:space="preserve"> </w:t>
      </w:r>
      <w:proofErr w:type="spellStart"/>
      <w:r>
        <w:t>giải</w:t>
      </w:r>
      <w:proofErr w:type="spellEnd"/>
      <w:r>
        <w:t xml:space="preserve"> </w:t>
      </w:r>
      <w:proofErr w:type="spellStart"/>
      <w:r>
        <w:t>thích</w:t>
      </w:r>
      <w:proofErr w:type="spellEnd"/>
      <w:r>
        <w:t xml:space="preserve"> </w:t>
      </w:r>
      <w:proofErr w:type="spellStart"/>
      <w:r>
        <w:t>từ</w:t>
      </w:r>
      <w:proofErr w:type="spellEnd"/>
      <w:r>
        <w:t xml:space="preserve"> </w:t>
      </w:r>
      <w:proofErr w:type="spellStart"/>
      <w:r>
        <w:t>vựng</w:t>
      </w:r>
      <w:proofErr w:type="spellEnd"/>
      <w:r>
        <w:t xml:space="preserve"> </w:t>
      </w:r>
      <w:proofErr w:type="spellStart"/>
      <w:r>
        <w:t>giúp</w:t>
      </w:r>
      <w:proofErr w:type="spellEnd"/>
      <w:r>
        <w:t xml:space="preserve"> </w:t>
      </w:r>
      <w:proofErr w:type="spellStart"/>
      <w:r>
        <w:t>tôi</w:t>
      </w:r>
      <w:proofErr w:type="spellEnd"/>
      <w:r>
        <w:t xml:space="preserve"> </w:t>
      </w:r>
      <w:proofErr w:type="spellStart"/>
      <w:r>
        <w:t>hiểu</w:t>
      </w:r>
      <w:proofErr w:type="spellEnd"/>
      <w:r>
        <w:t xml:space="preserve"> </w:t>
      </w:r>
      <w:proofErr w:type="spellStart"/>
      <w:r>
        <w:t>các</w:t>
      </w:r>
      <w:proofErr w:type="spellEnd"/>
      <w:r>
        <w:t xml:space="preserve"> </w:t>
      </w:r>
      <w:proofErr w:type="spellStart"/>
      <w:r>
        <w:t>từ</w:t>
      </w:r>
      <w:proofErr w:type="spellEnd"/>
      <w:r>
        <w:t xml:space="preserve"> </w:t>
      </w:r>
      <w:proofErr w:type="spellStart"/>
      <w:r>
        <w:t>mới</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w:t>
      </w:r>
    </w:p>
    <w:p w14:paraId="1D6BC7C0" w14:textId="1CF8AC2F" w:rsidR="00387FB8" w:rsidRDefault="00387FB8" w:rsidP="00387FB8">
      <w:pPr>
        <w:tabs>
          <w:tab w:val="left" w:pos="720"/>
        </w:tabs>
        <w:spacing w:line="480" w:lineRule="auto"/>
        <w:jc w:val="both"/>
      </w:pPr>
      <w:r>
        <w:t>7</w:t>
      </w:r>
      <w:r>
        <w:t xml:space="preserve">. </w:t>
      </w:r>
      <w:proofErr w:type="spellStart"/>
      <w:r>
        <w:t>Nhờ</w:t>
      </w:r>
      <w:proofErr w:type="spellEnd"/>
      <w:r>
        <w:t xml:space="preserve"> </w:t>
      </w:r>
      <w:proofErr w:type="spellStart"/>
      <w:r>
        <w:t>phần</w:t>
      </w:r>
      <w:proofErr w:type="spellEnd"/>
      <w:r>
        <w:t xml:space="preserve"> </w:t>
      </w:r>
      <w:proofErr w:type="spellStart"/>
      <w:r>
        <w:t>giải</w:t>
      </w:r>
      <w:proofErr w:type="spellEnd"/>
      <w:r>
        <w:t xml:space="preserve"> </w:t>
      </w:r>
      <w:proofErr w:type="spellStart"/>
      <w:r>
        <w:t>thích</w:t>
      </w:r>
      <w:proofErr w:type="spellEnd"/>
      <w:r>
        <w:t xml:space="preserve"> </w:t>
      </w:r>
      <w:proofErr w:type="spellStart"/>
      <w:r>
        <w:t>từ</w:t>
      </w:r>
      <w:proofErr w:type="spellEnd"/>
      <w:r>
        <w:t xml:space="preserve"> </w:t>
      </w:r>
      <w:proofErr w:type="spellStart"/>
      <w:r>
        <w:t>vựng</w:t>
      </w:r>
      <w:proofErr w:type="spellEnd"/>
      <w:r>
        <w:t xml:space="preserve">, </w:t>
      </w:r>
      <w:proofErr w:type="spellStart"/>
      <w:r>
        <w:t>tôi</w:t>
      </w:r>
      <w:proofErr w:type="spellEnd"/>
      <w:r>
        <w:t xml:space="preserve"> </w:t>
      </w:r>
      <w:proofErr w:type="spellStart"/>
      <w:r>
        <w:t>ít</w:t>
      </w:r>
      <w:proofErr w:type="spellEnd"/>
      <w:r>
        <w:t xml:space="preserve"> </w:t>
      </w:r>
      <w:proofErr w:type="spellStart"/>
      <w:r>
        <w:t>phải</w:t>
      </w:r>
      <w:proofErr w:type="spellEnd"/>
      <w:r>
        <w:t xml:space="preserve"> </w:t>
      </w:r>
      <w:proofErr w:type="spellStart"/>
      <w:r>
        <w:t>đoán</w:t>
      </w:r>
      <w:proofErr w:type="spellEnd"/>
      <w:r>
        <w:t xml:space="preserve"> </w:t>
      </w:r>
      <w:proofErr w:type="spellStart"/>
      <w:r>
        <w:t>nghĩa</w:t>
      </w:r>
      <w:proofErr w:type="spellEnd"/>
      <w:r>
        <w:t xml:space="preserve"> </w:t>
      </w:r>
      <w:proofErr w:type="spellStart"/>
      <w:r>
        <w:t>của</w:t>
      </w:r>
      <w:proofErr w:type="spellEnd"/>
      <w:r>
        <w:t xml:space="preserve"> </w:t>
      </w:r>
      <w:proofErr w:type="spellStart"/>
      <w:r>
        <w:t>từ</w:t>
      </w:r>
      <w:proofErr w:type="spellEnd"/>
      <w:r>
        <w:t xml:space="preserve"> </w:t>
      </w:r>
      <w:proofErr w:type="spellStart"/>
      <w:r>
        <w:t>mới</w:t>
      </w:r>
      <w:proofErr w:type="spellEnd"/>
      <w:r>
        <w:t xml:space="preserve"> </w:t>
      </w:r>
      <w:proofErr w:type="spellStart"/>
      <w:r>
        <w:t>trong</w:t>
      </w:r>
      <w:proofErr w:type="spellEnd"/>
      <w:r>
        <w:t xml:space="preserve"> </w:t>
      </w:r>
      <w:proofErr w:type="spellStart"/>
      <w:r>
        <w:t>khi</w:t>
      </w:r>
      <w:proofErr w:type="spellEnd"/>
      <w:r>
        <w:t xml:space="preserve"> </w:t>
      </w:r>
      <w:proofErr w:type="spellStart"/>
      <w:r>
        <w:t>nghe</w:t>
      </w:r>
      <w:proofErr w:type="spellEnd"/>
      <w:r>
        <w:t>.</w:t>
      </w:r>
    </w:p>
    <w:p w14:paraId="4ADAC14E" w14:textId="2E6EC30B" w:rsidR="00387FB8" w:rsidRDefault="00387FB8" w:rsidP="00387FB8">
      <w:pPr>
        <w:tabs>
          <w:tab w:val="left" w:pos="720"/>
        </w:tabs>
        <w:spacing w:line="480" w:lineRule="auto"/>
        <w:jc w:val="both"/>
      </w:pPr>
      <w:r>
        <w:lastRenderedPageBreak/>
        <w:t>8</w:t>
      </w:r>
      <w:r>
        <w:t xml:space="preserve">. </w:t>
      </w:r>
      <w:proofErr w:type="spellStart"/>
      <w:r>
        <w:t>Phần</w:t>
      </w:r>
      <w:proofErr w:type="spellEnd"/>
      <w:r>
        <w:t xml:space="preserve"> </w:t>
      </w:r>
      <w:proofErr w:type="spellStart"/>
      <w:r>
        <w:t>tóm</w:t>
      </w:r>
      <w:proofErr w:type="spellEnd"/>
      <w:r>
        <w:t xml:space="preserve"> </w:t>
      </w:r>
      <w:proofErr w:type="spellStart"/>
      <w:r>
        <w:t>tắt</w:t>
      </w:r>
      <w:proofErr w:type="spellEnd"/>
      <w:r>
        <w:t xml:space="preserve"> </w:t>
      </w:r>
      <w:proofErr w:type="spellStart"/>
      <w:r>
        <w:t>nội</w:t>
      </w:r>
      <w:proofErr w:type="spellEnd"/>
      <w:r>
        <w:t xml:space="preserve"> dung </w:t>
      </w:r>
      <w:proofErr w:type="spellStart"/>
      <w:r>
        <w:t>giúp</w:t>
      </w:r>
      <w:proofErr w:type="spellEnd"/>
      <w:r>
        <w:t xml:space="preserve"> </w:t>
      </w:r>
      <w:proofErr w:type="spellStart"/>
      <w:r>
        <w:t>tôi</w:t>
      </w:r>
      <w:proofErr w:type="spellEnd"/>
      <w:r>
        <w:t xml:space="preserve"> </w:t>
      </w:r>
      <w:proofErr w:type="spellStart"/>
      <w:r>
        <w:t>hiểu</w:t>
      </w:r>
      <w:proofErr w:type="spellEnd"/>
      <w:r>
        <w:t xml:space="preserve"> </w:t>
      </w:r>
      <w:proofErr w:type="spellStart"/>
      <w:r>
        <w:t>chủ</w:t>
      </w:r>
      <w:proofErr w:type="spellEnd"/>
      <w:r>
        <w:t xml:space="preserve"> </w:t>
      </w:r>
      <w:proofErr w:type="spellStart"/>
      <w:r>
        <w:t>đề</w:t>
      </w:r>
      <w:proofErr w:type="spellEnd"/>
      <w:r>
        <w:t xml:space="preserve"> </w:t>
      </w:r>
      <w:proofErr w:type="spellStart"/>
      <w:r>
        <w:t>chung</w:t>
      </w:r>
      <w:proofErr w:type="spellEnd"/>
      <w:r>
        <w:t xml:space="preserve"> </w:t>
      </w:r>
      <w:proofErr w:type="spellStart"/>
      <w:r>
        <w:t>của</w:t>
      </w:r>
      <w:proofErr w:type="spellEnd"/>
      <w:r>
        <w:t xml:space="preserve"> </w:t>
      </w:r>
      <w:proofErr w:type="spellStart"/>
      <w:r>
        <w:t>bài</w:t>
      </w:r>
      <w:proofErr w:type="spellEnd"/>
      <w:r>
        <w:t xml:space="preserve"> </w:t>
      </w:r>
      <w:proofErr w:type="spellStart"/>
      <w:r>
        <w:t>nghe</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w:t>
      </w:r>
    </w:p>
    <w:p w14:paraId="45369BC9" w14:textId="148B522E" w:rsidR="00387FB8" w:rsidRDefault="00387FB8" w:rsidP="00387FB8">
      <w:pPr>
        <w:tabs>
          <w:tab w:val="left" w:pos="720"/>
        </w:tabs>
        <w:spacing w:line="480" w:lineRule="auto"/>
        <w:jc w:val="both"/>
      </w:pPr>
      <w:r>
        <w:t>9</w:t>
      </w:r>
      <w:r>
        <w:t xml:space="preserve">. </w:t>
      </w:r>
      <w:proofErr w:type="spellStart"/>
      <w:r>
        <w:t>Phần</w:t>
      </w:r>
      <w:proofErr w:type="spellEnd"/>
      <w:r>
        <w:t xml:space="preserve"> </w:t>
      </w:r>
      <w:proofErr w:type="spellStart"/>
      <w:r>
        <w:t>tóm</w:t>
      </w:r>
      <w:proofErr w:type="spellEnd"/>
      <w:r>
        <w:t xml:space="preserve"> </w:t>
      </w:r>
      <w:proofErr w:type="spellStart"/>
      <w:r>
        <w:t>tắt</w:t>
      </w:r>
      <w:proofErr w:type="spellEnd"/>
      <w:r>
        <w:t xml:space="preserve"> </w:t>
      </w:r>
      <w:proofErr w:type="spellStart"/>
      <w:r>
        <w:t>giúp</w:t>
      </w:r>
      <w:proofErr w:type="spellEnd"/>
      <w:r>
        <w:t xml:space="preserve"> </w:t>
      </w:r>
      <w:proofErr w:type="spellStart"/>
      <w:r>
        <w:t>giảm</w:t>
      </w:r>
      <w:proofErr w:type="spellEnd"/>
      <w:r>
        <w:t xml:space="preserve"> </w:t>
      </w:r>
      <w:proofErr w:type="spellStart"/>
      <w:r>
        <w:t>sự</w:t>
      </w:r>
      <w:proofErr w:type="spellEnd"/>
      <w:r>
        <w:t xml:space="preserve"> </w:t>
      </w:r>
      <w:proofErr w:type="spellStart"/>
      <w:r>
        <w:t>bối</w:t>
      </w:r>
      <w:proofErr w:type="spellEnd"/>
      <w:r>
        <w:t xml:space="preserve"> </w:t>
      </w:r>
      <w:proofErr w:type="spellStart"/>
      <w:r>
        <w:t>rối</w:t>
      </w:r>
      <w:proofErr w:type="spellEnd"/>
      <w:r>
        <w:t xml:space="preserve"> </w:t>
      </w:r>
      <w:proofErr w:type="spellStart"/>
      <w:r>
        <w:t>khi</w:t>
      </w:r>
      <w:proofErr w:type="spellEnd"/>
      <w:r>
        <w:t xml:space="preserve"> </w:t>
      </w:r>
      <w:proofErr w:type="spellStart"/>
      <w:r>
        <w:t>tôi</w:t>
      </w:r>
      <w:proofErr w:type="spellEnd"/>
      <w:r>
        <w:t xml:space="preserve"> </w:t>
      </w:r>
      <w:proofErr w:type="spellStart"/>
      <w:r>
        <w:t>nghe</w:t>
      </w:r>
      <w:proofErr w:type="spellEnd"/>
      <w:r>
        <w:t xml:space="preserve"> </w:t>
      </w:r>
      <w:proofErr w:type="spellStart"/>
      <w:r>
        <w:t>bài</w:t>
      </w:r>
      <w:proofErr w:type="spellEnd"/>
      <w:r>
        <w:t>.</w:t>
      </w:r>
    </w:p>
    <w:p w14:paraId="5B034EAD" w14:textId="55FA74C2" w:rsidR="00387FB8" w:rsidRDefault="00387FB8" w:rsidP="00387FB8">
      <w:pPr>
        <w:tabs>
          <w:tab w:val="left" w:pos="720"/>
        </w:tabs>
        <w:spacing w:line="480" w:lineRule="auto"/>
        <w:jc w:val="both"/>
      </w:pPr>
      <w:r>
        <w:t>10</w:t>
      </w:r>
      <w:r>
        <w:t xml:space="preserve">. </w:t>
      </w:r>
      <w:r>
        <w:t xml:space="preserve">Các </w:t>
      </w:r>
      <w:proofErr w:type="spellStart"/>
      <w:r>
        <w:t>thông</w:t>
      </w:r>
      <w:proofErr w:type="spellEnd"/>
      <w:r>
        <w:t xml:space="preserve"> tin </w:t>
      </w:r>
      <w:proofErr w:type="spellStart"/>
      <w:r>
        <w:t>được</w:t>
      </w:r>
      <w:proofErr w:type="spellEnd"/>
      <w:r>
        <w:t xml:space="preserve"> </w:t>
      </w:r>
      <w:proofErr w:type="spellStart"/>
      <w:r>
        <w:t>cung</w:t>
      </w:r>
      <w:proofErr w:type="spellEnd"/>
      <w:r>
        <w:t xml:space="preserve"> </w:t>
      </w:r>
      <w:proofErr w:type="spellStart"/>
      <w:r>
        <w:t>cấp</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 xml:space="preserve"> </w:t>
      </w:r>
      <w:proofErr w:type="spellStart"/>
      <w:r>
        <w:t>rõ</w:t>
      </w:r>
      <w:proofErr w:type="spellEnd"/>
      <w:r>
        <w:t xml:space="preserve"> </w:t>
      </w:r>
      <w:proofErr w:type="spellStart"/>
      <w:r>
        <w:t>ràng</w:t>
      </w:r>
      <w:proofErr w:type="spellEnd"/>
      <w:r>
        <w:t xml:space="preserve"> </w:t>
      </w:r>
      <w:proofErr w:type="spellStart"/>
      <w:r>
        <w:t>và</w:t>
      </w:r>
      <w:proofErr w:type="spellEnd"/>
      <w:r>
        <w:t xml:space="preserve"> </w:t>
      </w:r>
      <w:proofErr w:type="spellStart"/>
      <w:r>
        <w:t>dễ</w:t>
      </w:r>
      <w:proofErr w:type="spellEnd"/>
      <w:r>
        <w:t xml:space="preserve"> </w:t>
      </w:r>
      <w:proofErr w:type="spellStart"/>
      <w:r>
        <w:t>hiểu</w:t>
      </w:r>
      <w:proofErr w:type="spellEnd"/>
      <w:r>
        <w:t>.</w:t>
      </w:r>
    </w:p>
    <w:p w14:paraId="10121F8D" w14:textId="0CCEE902" w:rsidR="00387FB8" w:rsidRDefault="00387FB8" w:rsidP="00387FB8">
      <w:pPr>
        <w:tabs>
          <w:tab w:val="left" w:pos="720"/>
        </w:tabs>
        <w:spacing w:line="480" w:lineRule="auto"/>
        <w:jc w:val="both"/>
      </w:pPr>
      <w:r>
        <w:t>11</w:t>
      </w:r>
      <w:r>
        <w:t xml:space="preserve">. </w:t>
      </w:r>
      <w:r>
        <w:t xml:space="preserve">Các </w:t>
      </w:r>
      <w:proofErr w:type="spellStart"/>
      <w:r>
        <w:t>hỗ</w:t>
      </w:r>
      <w:proofErr w:type="spellEnd"/>
      <w:r>
        <w:t xml:space="preserve"> </w:t>
      </w:r>
      <w:proofErr w:type="spellStart"/>
      <w:r>
        <w:t>trợ</w:t>
      </w:r>
      <w:proofErr w:type="spellEnd"/>
      <w:r>
        <w:t xml:space="preserve"> do ChatGPT </w:t>
      </w:r>
      <w:proofErr w:type="spellStart"/>
      <w:r>
        <w:t>tạo</w:t>
      </w:r>
      <w:proofErr w:type="spellEnd"/>
      <w:r>
        <w:t xml:space="preserve"> </w:t>
      </w:r>
      <w:proofErr w:type="spellStart"/>
      <w:r>
        <w:t>ra</w:t>
      </w:r>
      <w:proofErr w:type="spellEnd"/>
      <w:r>
        <w:t xml:space="preserve"> </w:t>
      </w:r>
      <w:proofErr w:type="spellStart"/>
      <w:r>
        <w:t>giúp</w:t>
      </w:r>
      <w:proofErr w:type="spellEnd"/>
      <w:r>
        <w:t xml:space="preserve"> </w:t>
      </w:r>
      <w:proofErr w:type="spellStart"/>
      <w:r>
        <w:t>giảm</w:t>
      </w:r>
      <w:proofErr w:type="spellEnd"/>
      <w:r>
        <w:t xml:space="preserve"> </w:t>
      </w:r>
      <w:proofErr w:type="spellStart"/>
      <w:r>
        <w:t>bớt</w:t>
      </w:r>
      <w:proofErr w:type="spellEnd"/>
      <w:r>
        <w:t xml:space="preserve"> </w:t>
      </w:r>
      <w:proofErr w:type="spellStart"/>
      <w:r>
        <w:t>khó</w:t>
      </w:r>
      <w:proofErr w:type="spellEnd"/>
      <w:r>
        <w:t xml:space="preserve"> </w:t>
      </w:r>
      <w:proofErr w:type="spellStart"/>
      <w:r>
        <w:t>khăn</w:t>
      </w:r>
      <w:proofErr w:type="spellEnd"/>
      <w:r>
        <w:t xml:space="preserve"> </w:t>
      </w:r>
      <w:proofErr w:type="spellStart"/>
      <w:r>
        <w:t>khi</w:t>
      </w:r>
      <w:proofErr w:type="spellEnd"/>
      <w:r>
        <w:t xml:space="preserve"> </w:t>
      </w:r>
      <w:proofErr w:type="spellStart"/>
      <w:r>
        <w:t>tôi</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các</w:t>
      </w:r>
      <w:proofErr w:type="spellEnd"/>
      <w:r>
        <w:t xml:space="preserve"> </w:t>
      </w:r>
      <w:proofErr w:type="spellStart"/>
      <w:r>
        <w:t>nhiệm</w:t>
      </w:r>
      <w:proofErr w:type="spellEnd"/>
      <w:r>
        <w:t xml:space="preserve"> </w:t>
      </w:r>
      <w:proofErr w:type="spellStart"/>
      <w:r>
        <w:t>vụ</w:t>
      </w:r>
      <w:proofErr w:type="spellEnd"/>
      <w:r>
        <w:t xml:space="preserve"> </w:t>
      </w:r>
      <w:proofErr w:type="spellStart"/>
      <w:r>
        <w:t>nghe</w:t>
      </w:r>
      <w:proofErr w:type="spellEnd"/>
      <w:r>
        <w:t>.</w:t>
      </w:r>
    </w:p>
    <w:p w14:paraId="1D4A7F32" w14:textId="77777777" w:rsidR="00387FB8" w:rsidRPr="00387FB8" w:rsidRDefault="00387FB8" w:rsidP="00387FB8">
      <w:pPr>
        <w:tabs>
          <w:tab w:val="left" w:pos="720"/>
        </w:tabs>
        <w:spacing w:line="480" w:lineRule="auto"/>
        <w:jc w:val="both"/>
        <w:rPr>
          <w:b/>
          <w:bCs/>
        </w:rPr>
      </w:pPr>
      <w:proofErr w:type="spellStart"/>
      <w:r w:rsidRPr="00387FB8">
        <w:rPr>
          <w:b/>
          <w:bCs/>
        </w:rPr>
        <w:t>Phần</w:t>
      </w:r>
      <w:proofErr w:type="spellEnd"/>
      <w:r w:rsidRPr="00387FB8">
        <w:rPr>
          <w:b/>
          <w:bCs/>
        </w:rPr>
        <w:t xml:space="preserve"> 4. </w:t>
      </w:r>
      <w:proofErr w:type="spellStart"/>
      <w:r w:rsidRPr="00387FB8">
        <w:rPr>
          <w:b/>
          <w:bCs/>
        </w:rPr>
        <w:t>Tải</w:t>
      </w:r>
      <w:proofErr w:type="spellEnd"/>
      <w:r w:rsidRPr="00387FB8">
        <w:rPr>
          <w:b/>
          <w:bCs/>
        </w:rPr>
        <w:t xml:space="preserve"> </w:t>
      </w:r>
      <w:proofErr w:type="spellStart"/>
      <w:r w:rsidRPr="00387FB8">
        <w:rPr>
          <w:b/>
          <w:bCs/>
        </w:rPr>
        <w:t>nhận</w:t>
      </w:r>
      <w:proofErr w:type="spellEnd"/>
      <w:r w:rsidRPr="00387FB8">
        <w:rPr>
          <w:b/>
          <w:bCs/>
        </w:rPr>
        <w:t xml:space="preserve"> </w:t>
      </w:r>
      <w:proofErr w:type="spellStart"/>
      <w:r w:rsidRPr="00387FB8">
        <w:rPr>
          <w:b/>
          <w:bCs/>
        </w:rPr>
        <w:t>thức</w:t>
      </w:r>
      <w:proofErr w:type="spellEnd"/>
      <w:r w:rsidRPr="00387FB8">
        <w:rPr>
          <w:b/>
          <w:bCs/>
        </w:rPr>
        <w:t xml:space="preserve"> </w:t>
      </w:r>
      <w:proofErr w:type="spellStart"/>
      <w:r w:rsidRPr="00387FB8">
        <w:rPr>
          <w:b/>
          <w:bCs/>
        </w:rPr>
        <w:t>hữu</w:t>
      </w:r>
      <w:proofErr w:type="spellEnd"/>
      <w:r w:rsidRPr="00387FB8">
        <w:rPr>
          <w:b/>
          <w:bCs/>
        </w:rPr>
        <w:t xml:space="preserve"> </w:t>
      </w:r>
      <w:proofErr w:type="spellStart"/>
      <w:r w:rsidRPr="00387FB8">
        <w:rPr>
          <w:b/>
          <w:bCs/>
        </w:rPr>
        <w:t>ích</w:t>
      </w:r>
      <w:proofErr w:type="spellEnd"/>
      <w:r w:rsidRPr="00387FB8">
        <w:rPr>
          <w:b/>
          <w:bCs/>
        </w:rPr>
        <w:t xml:space="preserve"> (Germane Cognitive Load)</w:t>
      </w:r>
    </w:p>
    <w:p w14:paraId="33AE0A79" w14:textId="3DF321E7" w:rsidR="00387FB8" w:rsidRDefault="00387FB8" w:rsidP="00387FB8">
      <w:pPr>
        <w:tabs>
          <w:tab w:val="left" w:pos="720"/>
        </w:tabs>
        <w:spacing w:line="480" w:lineRule="auto"/>
        <w:jc w:val="both"/>
      </w:pPr>
      <w:r>
        <w:t>12</w:t>
      </w:r>
      <w:r>
        <w:t xml:space="preserve">. </w:t>
      </w:r>
      <w:r>
        <w:t xml:space="preserve">Các </w:t>
      </w:r>
      <w:proofErr w:type="spellStart"/>
      <w:r>
        <w:t>câu</w:t>
      </w:r>
      <w:proofErr w:type="spellEnd"/>
      <w:r>
        <w:t xml:space="preserve"> </w:t>
      </w:r>
      <w:proofErr w:type="spellStart"/>
      <w:r>
        <w:t>hỏi</w:t>
      </w:r>
      <w:proofErr w:type="spellEnd"/>
      <w:r>
        <w:t xml:space="preserve"> </w:t>
      </w:r>
      <w:proofErr w:type="spellStart"/>
      <w:r>
        <w:t>dự</w:t>
      </w:r>
      <w:proofErr w:type="spellEnd"/>
      <w:r>
        <w:t xml:space="preserve"> </w:t>
      </w:r>
      <w:proofErr w:type="spellStart"/>
      <w:r>
        <w:t>đoán</w:t>
      </w:r>
      <w:proofErr w:type="spellEnd"/>
      <w:r>
        <w:t xml:space="preserve"> </w:t>
      </w:r>
      <w:proofErr w:type="spellStart"/>
      <w:r>
        <w:t>giúp</w:t>
      </w:r>
      <w:proofErr w:type="spellEnd"/>
      <w:r>
        <w:t xml:space="preserve"> </w:t>
      </w:r>
      <w:proofErr w:type="spellStart"/>
      <w:r>
        <w:t>tôi</w:t>
      </w:r>
      <w:proofErr w:type="spellEnd"/>
      <w:r>
        <w:t xml:space="preserve"> </w:t>
      </w:r>
      <w:proofErr w:type="spellStart"/>
      <w:r>
        <w:t>suy</w:t>
      </w:r>
      <w:proofErr w:type="spellEnd"/>
      <w:r>
        <w:t xml:space="preserve"> </w:t>
      </w:r>
      <w:proofErr w:type="spellStart"/>
      <w:r>
        <w:t>nghĩ</w:t>
      </w:r>
      <w:proofErr w:type="spellEnd"/>
      <w:r>
        <w:t xml:space="preserve"> </w:t>
      </w:r>
      <w:proofErr w:type="spellStart"/>
      <w:r>
        <w:t>về</w:t>
      </w:r>
      <w:proofErr w:type="spellEnd"/>
      <w:r>
        <w:t xml:space="preserve"> </w:t>
      </w:r>
      <w:proofErr w:type="spellStart"/>
      <w:r>
        <w:t>chủ</w:t>
      </w:r>
      <w:proofErr w:type="spellEnd"/>
      <w:r>
        <w:t xml:space="preserve"> </w:t>
      </w:r>
      <w:proofErr w:type="spellStart"/>
      <w:r>
        <w:t>đề</w:t>
      </w:r>
      <w:proofErr w:type="spellEnd"/>
      <w:r>
        <w:t xml:space="preserve"> </w:t>
      </w:r>
      <w:proofErr w:type="spellStart"/>
      <w:r>
        <w:t>của</w:t>
      </w:r>
      <w:proofErr w:type="spellEnd"/>
      <w:r>
        <w:t xml:space="preserve"> </w:t>
      </w:r>
      <w:proofErr w:type="spellStart"/>
      <w:r>
        <w:t>bài</w:t>
      </w:r>
      <w:proofErr w:type="spellEnd"/>
      <w:r>
        <w:t xml:space="preserve"> </w:t>
      </w:r>
      <w:proofErr w:type="spellStart"/>
      <w:r>
        <w:t>nghe</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w:t>
      </w:r>
    </w:p>
    <w:p w14:paraId="36D4879E" w14:textId="60D435FC" w:rsidR="00387FB8" w:rsidRDefault="00387FB8" w:rsidP="00387FB8">
      <w:pPr>
        <w:tabs>
          <w:tab w:val="left" w:pos="720"/>
        </w:tabs>
        <w:spacing w:line="480" w:lineRule="auto"/>
        <w:jc w:val="both"/>
      </w:pPr>
      <w:r>
        <w:t>13</w:t>
      </w:r>
      <w:r>
        <w:t xml:space="preserve">. </w:t>
      </w:r>
      <w:r>
        <w:t xml:space="preserve">Các </w:t>
      </w:r>
      <w:proofErr w:type="spellStart"/>
      <w:r>
        <w:t>câu</w:t>
      </w:r>
      <w:proofErr w:type="spellEnd"/>
      <w:r>
        <w:t xml:space="preserve"> </w:t>
      </w:r>
      <w:proofErr w:type="spellStart"/>
      <w:r>
        <w:t>hỏi</w:t>
      </w:r>
      <w:proofErr w:type="spellEnd"/>
      <w:r>
        <w:t xml:space="preserve"> </w:t>
      </w:r>
      <w:proofErr w:type="spellStart"/>
      <w:r>
        <w:t>dự</w:t>
      </w:r>
      <w:proofErr w:type="spellEnd"/>
      <w:r>
        <w:t xml:space="preserve"> </w:t>
      </w:r>
      <w:proofErr w:type="spellStart"/>
      <w:r>
        <w:t>đoán</w:t>
      </w:r>
      <w:proofErr w:type="spellEnd"/>
      <w:r>
        <w:t xml:space="preserve"> </w:t>
      </w:r>
      <w:proofErr w:type="spellStart"/>
      <w:r>
        <w:t>giúp</w:t>
      </w:r>
      <w:proofErr w:type="spellEnd"/>
      <w:r>
        <w:t xml:space="preserve"> </w:t>
      </w:r>
      <w:proofErr w:type="spellStart"/>
      <w:r>
        <w:t>tôi</w:t>
      </w:r>
      <w:proofErr w:type="spellEnd"/>
      <w:r>
        <w:t xml:space="preserve"> </w:t>
      </w:r>
      <w:proofErr w:type="spellStart"/>
      <w:r>
        <w:t>tập</w:t>
      </w:r>
      <w:proofErr w:type="spellEnd"/>
      <w:r>
        <w:t xml:space="preserve"> </w:t>
      </w:r>
      <w:proofErr w:type="spellStart"/>
      <w:r>
        <w:t>trung</w:t>
      </w:r>
      <w:proofErr w:type="spellEnd"/>
      <w:r>
        <w:t xml:space="preserve"> </w:t>
      </w:r>
      <w:proofErr w:type="spellStart"/>
      <w:r>
        <w:t>vào</w:t>
      </w:r>
      <w:proofErr w:type="spellEnd"/>
      <w:r>
        <w:t xml:space="preserve"> </w:t>
      </w:r>
      <w:proofErr w:type="spellStart"/>
      <w:r>
        <w:t>những</w:t>
      </w:r>
      <w:proofErr w:type="spellEnd"/>
      <w:r>
        <w:t xml:space="preserve"> </w:t>
      </w:r>
      <w:proofErr w:type="spellStart"/>
      <w:r>
        <w:t>thông</w:t>
      </w:r>
      <w:proofErr w:type="spellEnd"/>
      <w:r>
        <w:t xml:space="preserve"> tin </w:t>
      </w:r>
      <w:proofErr w:type="spellStart"/>
      <w:r>
        <w:t>quan</w:t>
      </w:r>
      <w:proofErr w:type="spellEnd"/>
      <w:r>
        <w:t xml:space="preserve"> </w:t>
      </w:r>
      <w:proofErr w:type="spellStart"/>
      <w:r>
        <w:t>trọng</w:t>
      </w:r>
      <w:proofErr w:type="spellEnd"/>
      <w:r>
        <w:t xml:space="preserve"> </w:t>
      </w:r>
      <w:proofErr w:type="spellStart"/>
      <w:r>
        <w:t>trong</w:t>
      </w:r>
      <w:proofErr w:type="spellEnd"/>
      <w:r>
        <w:t xml:space="preserve"> </w:t>
      </w:r>
      <w:proofErr w:type="spellStart"/>
      <w:r>
        <w:t>khi</w:t>
      </w:r>
      <w:proofErr w:type="spellEnd"/>
      <w:r>
        <w:t xml:space="preserve"> </w:t>
      </w:r>
      <w:proofErr w:type="spellStart"/>
      <w:r>
        <w:t>nghe</w:t>
      </w:r>
      <w:proofErr w:type="spellEnd"/>
      <w:r>
        <w:t>.</w:t>
      </w:r>
    </w:p>
    <w:p w14:paraId="12639311" w14:textId="1533B3DF" w:rsidR="00387FB8" w:rsidRDefault="00387FB8" w:rsidP="00387FB8">
      <w:pPr>
        <w:tabs>
          <w:tab w:val="left" w:pos="720"/>
        </w:tabs>
        <w:spacing w:line="480" w:lineRule="auto"/>
        <w:jc w:val="both"/>
      </w:pPr>
      <w:r>
        <w:t>14</w:t>
      </w:r>
      <w:r>
        <w:t xml:space="preserve">. </w:t>
      </w:r>
      <w:proofErr w:type="spellStart"/>
      <w:r>
        <w:t>Tôi</w:t>
      </w:r>
      <w:proofErr w:type="spellEnd"/>
      <w:r>
        <w:t xml:space="preserve"> </w:t>
      </w:r>
      <w:proofErr w:type="spellStart"/>
      <w:r>
        <w:t>chủ</w:t>
      </w:r>
      <w:proofErr w:type="spellEnd"/>
      <w:r>
        <w:t xml:space="preserve"> </w:t>
      </w:r>
      <w:proofErr w:type="spellStart"/>
      <w:r>
        <w:t>động</w:t>
      </w:r>
      <w:proofErr w:type="spellEnd"/>
      <w:r>
        <w:t xml:space="preserve"> </w:t>
      </w:r>
      <w:proofErr w:type="spellStart"/>
      <w:r>
        <w:t>liên</w:t>
      </w:r>
      <w:proofErr w:type="spellEnd"/>
      <w:r>
        <w:t xml:space="preserve"> </w:t>
      </w:r>
      <w:proofErr w:type="spellStart"/>
      <w:r>
        <w:t>hệ</w:t>
      </w:r>
      <w:proofErr w:type="spellEnd"/>
      <w:r>
        <w:t xml:space="preserve"> </w:t>
      </w:r>
      <w:proofErr w:type="spellStart"/>
      <w:r>
        <w:t>các</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 xml:space="preserve"> </w:t>
      </w:r>
      <w:proofErr w:type="spellStart"/>
      <w:r>
        <w:t>với</w:t>
      </w:r>
      <w:proofErr w:type="spellEnd"/>
      <w:r>
        <w:t xml:space="preserve"> </w:t>
      </w:r>
      <w:proofErr w:type="spellStart"/>
      <w:r>
        <w:t>nội</w:t>
      </w:r>
      <w:proofErr w:type="spellEnd"/>
      <w:r>
        <w:t xml:space="preserve"> dung </w:t>
      </w:r>
      <w:proofErr w:type="spellStart"/>
      <w:r>
        <w:t>mình</w:t>
      </w:r>
      <w:proofErr w:type="spellEnd"/>
      <w:r>
        <w:t xml:space="preserve"> </w:t>
      </w:r>
      <w:proofErr w:type="spellStart"/>
      <w:r>
        <w:t>nghe</w:t>
      </w:r>
      <w:proofErr w:type="spellEnd"/>
      <w:r>
        <w:t xml:space="preserve"> </w:t>
      </w:r>
      <w:proofErr w:type="spellStart"/>
      <w:r>
        <w:t>được</w:t>
      </w:r>
      <w:proofErr w:type="spellEnd"/>
      <w:r>
        <w:t>.</w:t>
      </w:r>
    </w:p>
    <w:p w14:paraId="110D9E6A" w14:textId="5BA8154F" w:rsidR="00387FB8" w:rsidRDefault="00387FB8" w:rsidP="00387FB8">
      <w:pPr>
        <w:tabs>
          <w:tab w:val="left" w:pos="720"/>
        </w:tabs>
        <w:spacing w:line="480" w:lineRule="auto"/>
        <w:jc w:val="both"/>
      </w:pPr>
      <w:r>
        <w:t>15</w:t>
      </w:r>
      <w:r>
        <w:t xml:space="preserve">. </w:t>
      </w:r>
      <w:r>
        <w:t xml:space="preserve">Các </w:t>
      </w:r>
      <w:proofErr w:type="spellStart"/>
      <w:r>
        <w:t>hỗ</w:t>
      </w:r>
      <w:proofErr w:type="spellEnd"/>
      <w:r>
        <w:t xml:space="preserve"> </w:t>
      </w:r>
      <w:proofErr w:type="spellStart"/>
      <w:r>
        <w:t>trợ</w:t>
      </w:r>
      <w:proofErr w:type="spellEnd"/>
      <w:r>
        <w:t xml:space="preserve"> do ChatGPT </w:t>
      </w:r>
      <w:proofErr w:type="spellStart"/>
      <w:r>
        <w:t>tạo</w:t>
      </w:r>
      <w:proofErr w:type="spellEnd"/>
      <w:r>
        <w:t xml:space="preserve"> </w:t>
      </w:r>
      <w:proofErr w:type="spellStart"/>
      <w:r>
        <w:t>ra</w:t>
      </w:r>
      <w:proofErr w:type="spellEnd"/>
      <w:r>
        <w:t xml:space="preserve"> </w:t>
      </w:r>
      <w:proofErr w:type="spellStart"/>
      <w:r>
        <w:t>giúp</w:t>
      </w:r>
      <w:proofErr w:type="spellEnd"/>
      <w:r>
        <w:t xml:space="preserve"> </w:t>
      </w:r>
      <w:proofErr w:type="spellStart"/>
      <w:r>
        <w:t>tôi</w:t>
      </w:r>
      <w:proofErr w:type="spellEnd"/>
      <w:r>
        <w:t xml:space="preserve"> </w:t>
      </w:r>
      <w:proofErr w:type="spellStart"/>
      <w:r>
        <w:t>sắp</w:t>
      </w:r>
      <w:proofErr w:type="spellEnd"/>
      <w:r>
        <w:t xml:space="preserve"> </w:t>
      </w:r>
      <w:proofErr w:type="spellStart"/>
      <w:r>
        <w:t>xếp</w:t>
      </w:r>
      <w:proofErr w:type="spellEnd"/>
      <w:r>
        <w:t xml:space="preserve"> </w:t>
      </w:r>
      <w:proofErr w:type="spellStart"/>
      <w:r>
        <w:t>thông</w:t>
      </w:r>
      <w:proofErr w:type="spellEnd"/>
      <w:r>
        <w:t xml:space="preserve"> tin </w:t>
      </w:r>
      <w:proofErr w:type="spellStart"/>
      <w:r>
        <w:t>hiệu</w:t>
      </w:r>
      <w:proofErr w:type="spellEnd"/>
      <w:r>
        <w:t xml:space="preserve"> </w:t>
      </w:r>
      <w:proofErr w:type="spellStart"/>
      <w:r>
        <w:t>quả</w:t>
      </w:r>
      <w:proofErr w:type="spellEnd"/>
      <w:r>
        <w:t xml:space="preserve"> </w:t>
      </w:r>
      <w:proofErr w:type="spellStart"/>
      <w:r>
        <w:t>hơn</w:t>
      </w:r>
      <w:proofErr w:type="spellEnd"/>
      <w:r>
        <w:t>.</w:t>
      </w:r>
    </w:p>
    <w:p w14:paraId="5282F491" w14:textId="549F8805" w:rsidR="00387FB8" w:rsidRDefault="00387FB8" w:rsidP="00387FB8">
      <w:pPr>
        <w:tabs>
          <w:tab w:val="left" w:pos="720"/>
        </w:tabs>
        <w:spacing w:line="480" w:lineRule="auto"/>
        <w:jc w:val="both"/>
      </w:pPr>
      <w:r>
        <w:t>16</w:t>
      </w:r>
      <w:r>
        <w:t xml:space="preserve">. </w:t>
      </w:r>
      <w:r>
        <w:t xml:space="preserve">Các </w:t>
      </w:r>
      <w:proofErr w:type="spellStart"/>
      <w:r>
        <w:t>hoạt</w:t>
      </w:r>
      <w:proofErr w:type="spellEnd"/>
      <w:r>
        <w:t xml:space="preserve"> </w:t>
      </w:r>
      <w:proofErr w:type="spellStart"/>
      <w:r>
        <w:t>động</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 xml:space="preserve"> </w:t>
      </w:r>
      <w:proofErr w:type="spellStart"/>
      <w:r>
        <w:t>giúp</w:t>
      </w:r>
      <w:proofErr w:type="spellEnd"/>
      <w:r>
        <w:t xml:space="preserve"> </w:t>
      </w:r>
      <w:proofErr w:type="spellStart"/>
      <w:r>
        <w:t>tôi</w:t>
      </w:r>
      <w:proofErr w:type="spellEnd"/>
      <w:r>
        <w:t xml:space="preserve"> </w:t>
      </w:r>
      <w:proofErr w:type="spellStart"/>
      <w:r>
        <w:t>hiểu</w:t>
      </w:r>
      <w:proofErr w:type="spellEnd"/>
      <w:r>
        <w:t xml:space="preserve"> </w:t>
      </w:r>
      <w:proofErr w:type="spellStart"/>
      <w:r>
        <w:t>nội</w:t>
      </w:r>
      <w:proofErr w:type="spellEnd"/>
      <w:r>
        <w:t xml:space="preserve"> dung </w:t>
      </w:r>
      <w:proofErr w:type="spellStart"/>
      <w:r>
        <w:t>bài</w:t>
      </w:r>
      <w:proofErr w:type="spellEnd"/>
      <w:r>
        <w:t xml:space="preserve"> </w:t>
      </w:r>
      <w:proofErr w:type="spellStart"/>
      <w:r>
        <w:t>nghe</w:t>
      </w:r>
      <w:proofErr w:type="spellEnd"/>
      <w:r>
        <w:t xml:space="preserve"> </w:t>
      </w:r>
      <w:proofErr w:type="spellStart"/>
      <w:r>
        <w:t>tốt</w:t>
      </w:r>
      <w:proofErr w:type="spellEnd"/>
      <w:r>
        <w:t xml:space="preserve"> </w:t>
      </w:r>
      <w:proofErr w:type="spellStart"/>
      <w:r>
        <w:t>hơn</w:t>
      </w:r>
      <w:proofErr w:type="spellEnd"/>
      <w:r>
        <w:t>.</w:t>
      </w:r>
    </w:p>
    <w:p w14:paraId="63D60559" w14:textId="0CF6EFB9" w:rsidR="00387FB8" w:rsidRPr="00387FB8" w:rsidRDefault="00387FB8" w:rsidP="00387FB8">
      <w:pPr>
        <w:tabs>
          <w:tab w:val="left" w:pos="720"/>
        </w:tabs>
        <w:spacing w:line="480" w:lineRule="auto"/>
        <w:jc w:val="both"/>
      </w:pPr>
      <w:r>
        <w:t>17</w:t>
      </w:r>
      <w:r>
        <w:t xml:space="preserve">. </w:t>
      </w:r>
      <w:proofErr w:type="spellStart"/>
      <w:r>
        <w:t>Tôi</w:t>
      </w:r>
      <w:proofErr w:type="spellEnd"/>
      <w:r>
        <w:t xml:space="preserve"> </w:t>
      </w:r>
      <w:proofErr w:type="spellStart"/>
      <w:r>
        <w:t>cố</w:t>
      </w:r>
      <w:proofErr w:type="spellEnd"/>
      <w:r>
        <w:t xml:space="preserve"> </w:t>
      </w:r>
      <w:proofErr w:type="spellStart"/>
      <w:r>
        <w:t>gắng</w:t>
      </w:r>
      <w:proofErr w:type="spellEnd"/>
      <w:r>
        <w:t xml:space="preserve"> </w:t>
      </w:r>
      <w:proofErr w:type="spellStart"/>
      <w:r>
        <w:t>áp</w:t>
      </w:r>
      <w:proofErr w:type="spellEnd"/>
      <w:r>
        <w:t xml:space="preserve"> </w:t>
      </w:r>
      <w:proofErr w:type="spellStart"/>
      <w:r>
        <w:t>dụng</w:t>
      </w:r>
      <w:proofErr w:type="spellEnd"/>
      <w:r>
        <w:t xml:space="preserve"> </w:t>
      </w:r>
      <w:proofErr w:type="spellStart"/>
      <w:r>
        <w:t>các</w:t>
      </w:r>
      <w:proofErr w:type="spellEnd"/>
      <w:r>
        <w:t xml:space="preserve"> </w:t>
      </w:r>
      <w:proofErr w:type="spellStart"/>
      <w:r>
        <w:t>thông</w:t>
      </w:r>
      <w:proofErr w:type="spellEnd"/>
      <w:r>
        <w:t xml:space="preserve"> tin </w:t>
      </w:r>
      <w:proofErr w:type="spellStart"/>
      <w:r>
        <w:t>được</w:t>
      </w:r>
      <w:proofErr w:type="spellEnd"/>
      <w:r>
        <w:t xml:space="preserve"> </w:t>
      </w:r>
      <w:proofErr w:type="spellStart"/>
      <w:r>
        <w:t>cung</w:t>
      </w:r>
      <w:proofErr w:type="spellEnd"/>
      <w:r>
        <w:t xml:space="preserve"> </w:t>
      </w:r>
      <w:proofErr w:type="spellStart"/>
      <w:r>
        <w:t>cấp</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nghe</w:t>
      </w:r>
      <w:proofErr w:type="spellEnd"/>
      <w:r>
        <w:t xml:space="preserve"> </w:t>
      </w:r>
      <w:proofErr w:type="spellStart"/>
      <w:r>
        <w:t>để</w:t>
      </w:r>
      <w:proofErr w:type="spellEnd"/>
      <w:r>
        <w:t xml:space="preserve"> </w:t>
      </w:r>
      <w:proofErr w:type="spellStart"/>
      <w:r>
        <w:t>hoàn</w:t>
      </w:r>
      <w:proofErr w:type="spellEnd"/>
      <w:r>
        <w:t xml:space="preserve"> </w:t>
      </w:r>
      <w:proofErr w:type="spellStart"/>
      <w:r>
        <w:t>thành</w:t>
      </w:r>
      <w:proofErr w:type="spellEnd"/>
      <w:r>
        <w:t xml:space="preserve"> </w:t>
      </w:r>
      <w:proofErr w:type="spellStart"/>
      <w:r>
        <w:t>nhiệm</w:t>
      </w:r>
      <w:proofErr w:type="spellEnd"/>
      <w:r>
        <w:t xml:space="preserve"> </w:t>
      </w:r>
      <w:proofErr w:type="spellStart"/>
      <w:r>
        <w:t>vụ</w:t>
      </w:r>
      <w:proofErr w:type="spellEnd"/>
      <w:r>
        <w:t xml:space="preserve"> </w:t>
      </w:r>
      <w:proofErr w:type="spellStart"/>
      <w:r>
        <w:t>nghe</w:t>
      </w:r>
      <w:proofErr w:type="spellEnd"/>
      <w:r>
        <w:t>.</w:t>
      </w:r>
    </w:p>
    <w:p w14:paraId="7A34C8CE" w14:textId="560878BA" w:rsidR="00387FB8" w:rsidRDefault="00387FB8" w:rsidP="00387FB8">
      <w:pPr>
        <w:tabs>
          <w:tab w:val="left" w:pos="720"/>
        </w:tabs>
        <w:spacing w:line="480" w:lineRule="auto"/>
        <w:jc w:val="both"/>
        <w:rPr>
          <w:b/>
          <w:bCs/>
        </w:rPr>
      </w:pPr>
      <w:r w:rsidRPr="00387FB8">
        <w:rPr>
          <w:b/>
          <w:bCs/>
        </w:rPr>
        <w:t xml:space="preserve">Appendix </w:t>
      </w:r>
      <w:r>
        <w:rPr>
          <w:b/>
          <w:bCs/>
        </w:rPr>
        <w:t>B</w:t>
      </w:r>
    </w:p>
    <w:p w14:paraId="7528155C" w14:textId="5DF4A6F0" w:rsidR="00761DE1" w:rsidRPr="00761DE1" w:rsidRDefault="00761DE1" w:rsidP="00761DE1">
      <w:pPr>
        <w:tabs>
          <w:tab w:val="left" w:pos="720"/>
        </w:tabs>
        <w:spacing w:line="480" w:lineRule="auto"/>
        <w:jc w:val="center"/>
        <w:rPr>
          <w:b/>
          <w:bCs/>
        </w:rPr>
      </w:pPr>
      <w:r w:rsidRPr="00761DE1">
        <w:rPr>
          <w:b/>
          <w:bCs/>
        </w:rPr>
        <w:t>LISTENING TASK USED IN THE INTERVENTION</w:t>
      </w:r>
    </w:p>
    <w:p w14:paraId="2D812FE5" w14:textId="4F7D2A3D" w:rsidR="00761DE1" w:rsidRPr="00761DE1" w:rsidRDefault="00761DE1" w:rsidP="00761DE1">
      <w:pPr>
        <w:tabs>
          <w:tab w:val="left" w:pos="720"/>
        </w:tabs>
        <w:spacing w:line="480" w:lineRule="auto"/>
        <w:jc w:val="both"/>
        <w:rPr>
          <w:b/>
          <w:bCs/>
        </w:rPr>
      </w:pPr>
      <w:r w:rsidRPr="00761DE1">
        <w:rPr>
          <w:b/>
          <w:bCs/>
        </w:rPr>
        <w:t>Unit 10A – Listening Activity</w:t>
      </w:r>
    </w:p>
    <w:p w14:paraId="2762E2B1" w14:textId="3FFFB2DA" w:rsidR="00761DE1" w:rsidRPr="00761DE1" w:rsidRDefault="00761DE1" w:rsidP="00761DE1">
      <w:pPr>
        <w:tabs>
          <w:tab w:val="left" w:pos="720"/>
        </w:tabs>
        <w:spacing w:line="480" w:lineRule="auto"/>
        <w:jc w:val="both"/>
      </w:pPr>
      <w:r w:rsidRPr="00761DE1">
        <w:rPr>
          <w:b/>
          <w:bCs/>
        </w:rPr>
        <w:t xml:space="preserve">Source: </w:t>
      </w:r>
      <w:r w:rsidRPr="00761DE1">
        <w:t>Doff et al., Cambridge English Empower Elementary A2 Student’s Book, pp. 100–101.</w:t>
      </w:r>
    </w:p>
    <w:p w14:paraId="58DECE20" w14:textId="64C3A0E1" w:rsidR="00761DE1" w:rsidRPr="00761DE1" w:rsidRDefault="00761DE1" w:rsidP="00761DE1">
      <w:pPr>
        <w:tabs>
          <w:tab w:val="left" w:pos="720"/>
        </w:tabs>
        <w:spacing w:line="480" w:lineRule="auto"/>
        <w:jc w:val="both"/>
        <w:rPr>
          <w:b/>
          <w:bCs/>
        </w:rPr>
      </w:pPr>
      <w:r w:rsidRPr="00761DE1">
        <w:rPr>
          <w:b/>
          <w:bCs/>
        </w:rPr>
        <w:t>Listening task:</w:t>
      </w:r>
    </w:p>
    <w:p w14:paraId="46BBD03E" w14:textId="0DB521CD" w:rsidR="00761DE1" w:rsidRPr="00761DE1" w:rsidRDefault="00761DE1" w:rsidP="00761DE1">
      <w:pPr>
        <w:tabs>
          <w:tab w:val="left" w:pos="720"/>
        </w:tabs>
        <w:spacing w:line="480" w:lineRule="auto"/>
        <w:jc w:val="both"/>
      </w:pPr>
      <w:r w:rsidRPr="00761DE1">
        <w:t>a. Listen to the podcast. Does it talk about the same ideas as the Online Hints posts?</w:t>
      </w:r>
    </w:p>
    <w:p w14:paraId="1D5067CA" w14:textId="276E6BEA" w:rsidR="00761DE1" w:rsidRPr="00761DE1" w:rsidRDefault="00761DE1" w:rsidP="00761DE1">
      <w:pPr>
        <w:tabs>
          <w:tab w:val="left" w:pos="720"/>
        </w:tabs>
        <w:spacing w:line="480" w:lineRule="auto"/>
        <w:jc w:val="both"/>
      </w:pPr>
      <w:r w:rsidRPr="00761DE1">
        <w:t>b. Listen again. Choose the correct answer.</w:t>
      </w:r>
    </w:p>
    <w:p w14:paraId="30AA60DD" w14:textId="12CF74BA" w:rsidR="00761DE1" w:rsidRPr="00761DE1" w:rsidRDefault="00761DE1" w:rsidP="00761DE1">
      <w:pPr>
        <w:tabs>
          <w:tab w:val="left" w:pos="720"/>
        </w:tabs>
        <w:spacing w:line="480" w:lineRule="auto"/>
        <w:jc w:val="both"/>
        <w:rPr>
          <w:b/>
          <w:bCs/>
          <w:i/>
          <w:iCs/>
        </w:rPr>
      </w:pPr>
      <w:r>
        <w:rPr>
          <w:b/>
          <w:bCs/>
          <w:i/>
          <w:iCs/>
        </w:rPr>
        <w:t xml:space="preserve">1. </w:t>
      </w:r>
      <w:proofErr w:type="spellStart"/>
      <w:r w:rsidRPr="00761DE1">
        <w:rPr>
          <w:b/>
          <w:bCs/>
          <w:i/>
          <w:iCs/>
        </w:rPr>
        <w:t>Pocketability</w:t>
      </w:r>
      <w:proofErr w:type="spellEnd"/>
      <w:r w:rsidRPr="00761DE1">
        <w:rPr>
          <w:b/>
          <w:bCs/>
          <w:i/>
          <w:iCs/>
        </w:rPr>
        <w:t xml:space="preserve"> is about:</w:t>
      </w:r>
    </w:p>
    <w:p w14:paraId="1352C5C5" w14:textId="7F21DC20" w:rsidR="00761DE1" w:rsidRPr="00761DE1" w:rsidRDefault="00761DE1" w:rsidP="00761DE1">
      <w:pPr>
        <w:tabs>
          <w:tab w:val="left" w:pos="720"/>
        </w:tabs>
        <w:spacing w:line="480" w:lineRule="auto"/>
        <w:jc w:val="both"/>
        <w:rPr>
          <w:i/>
          <w:iCs/>
        </w:rPr>
      </w:pPr>
      <w:r>
        <w:rPr>
          <w:i/>
          <w:iCs/>
        </w:rPr>
        <w:tab/>
      </w:r>
      <w:r w:rsidRPr="00761DE1">
        <w:rPr>
          <w:i/>
          <w:iCs/>
        </w:rPr>
        <w:t>a. the size of phones and tablets.</w:t>
      </w:r>
    </w:p>
    <w:p w14:paraId="6979D4FB" w14:textId="5106AA0A" w:rsidR="00761DE1" w:rsidRPr="00761DE1" w:rsidRDefault="00761DE1" w:rsidP="00761DE1">
      <w:pPr>
        <w:tabs>
          <w:tab w:val="left" w:pos="720"/>
        </w:tabs>
        <w:spacing w:line="480" w:lineRule="auto"/>
        <w:jc w:val="both"/>
        <w:rPr>
          <w:i/>
          <w:iCs/>
        </w:rPr>
      </w:pPr>
      <w:r>
        <w:rPr>
          <w:i/>
          <w:iCs/>
        </w:rPr>
        <w:tab/>
      </w:r>
      <w:r w:rsidRPr="00761DE1">
        <w:rPr>
          <w:i/>
          <w:iCs/>
        </w:rPr>
        <w:t>b. how phones and tablets feel when you use them.</w:t>
      </w:r>
    </w:p>
    <w:p w14:paraId="01EC86CA" w14:textId="71FE9A3E" w:rsidR="00761DE1" w:rsidRPr="00761DE1" w:rsidRDefault="00761DE1" w:rsidP="00761DE1">
      <w:pPr>
        <w:tabs>
          <w:tab w:val="left" w:pos="720"/>
        </w:tabs>
        <w:spacing w:line="480" w:lineRule="auto"/>
        <w:jc w:val="both"/>
        <w:rPr>
          <w:b/>
          <w:bCs/>
          <w:i/>
          <w:iCs/>
        </w:rPr>
      </w:pPr>
      <w:r>
        <w:rPr>
          <w:b/>
          <w:bCs/>
          <w:i/>
          <w:iCs/>
        </w:rPr>
        <w:t xml:space="preserve">2. </w:t>
      </w:r>
      <w:proofErr w:type="spellStart"/>
      <w:r w:rsidRPr="00761DE1">
        <w:rPr>
          <w:b/>
          <w:bCs/>
          <w:i/>
          <w:iCs/>
        </w:rPr>
        <w:t>Eatability</w:t>
      </w:r>
      <w:proofErr w:type="spellEnd"/>
      <w:r w:rsidRPr="00761DE1">
        <w:rPr>
          <w:b/>
          <w:bCs/>
          <w:i/>
          <w:iCs/>
        </w:rPr>
        <w:t xml:space="preserve"> is about:</w:t>
      </w:r>
    </w:p>
    <w:p w14:paraId="69FBB28C" w14:textId="07B62990" w:rsidR="00761DE1" w:rsidRPr="00761DE1" w:rsidRDefault="00761DE1" w:rsidP="00761DE1">
      <w:pPr>
        <w:tabs>
          <w:tab w:val="left" w:pos="720"/>
        </w:tabs>
        <w:spacing w:line="480" w:lineRule="auto"/>
        <w:jc w:val="both"/>
        <w:rPr>
          <w:i/>
          <w:iCs/>
        </w:rPr>
      </w:pPr>
      <w:r>
        <w:rPr>
          <w:i/>
          <w:iCs/>
        </w:rPr>
        <w:tab/>
      </w:r>
      <w:r w:rsidRPr="00761DE1">
        <w:rPr>
          <w:i/>
          <w:iCs/>
        </w:rPr>
        <w:t>a. using phones and tablets in restaurants.</w:t>
      </w:r>
    </w:p>
    <w:p w14:paraId="53A7998E" w14:textId="72652A50" w:rsidR="00761DE1" w:rsidRPr="00761DE1" w:rsidRDefault="00761DE1" w:rsidP="00761DE1">
      <w:pPr>
        <w:tabs>
          <w:tab w:val="left" w:pos="720"/>
        </w:tabs>
        <w:spacing w:line="480" w:lineRule="auto"/>
        <w:jc w:val="both"/>
        <w:rPr>
          <w:i/>
          <w:iCs/>
        </w:rPr>
      </w:pPr>
      <w:r>
        <w:rPr>
          <w:i/>
          <w:iCs/>
        </w:rPr>
        <w:lastRenderedPageBreak/>
        <w:tab/>
      </w:r>
      <w:r w:rsidRPr="00761DE1">
        <w:rPr>
          <w:i/>
          <w:iCs/>
        </w:rPr>
        <w:t>b. using phones and tablets when you’re eating.</w:t>
      </w:r>
    </w:p>
    <w:p w14:paraId="3059D8BD" w14:textId="77777777" w:rsidR="00761DE1" w:rsidRPr="00761DE1" w:rsidRDefault="00761DE1" w:rsidP="00761DE1">
      <w:pPr>
        <w:tabs>
          <w:tab w:val="left" w:pos="720"/>
        </w:tabs>
        <w:spacing w:line="480" w:lineRule="auto"/>
        <w:jc w:val="both"/>
        <w:rPr>
          <w:b/>
          <w:bCs/>
        </w:rPr>
      </w:pPr>
      <w:r w:rsidRPr="00761DE1">
        <w:rPr>
          <w:b/>
          <w:bCs/>
        </w:rPr>
        <w:t>c Talk about the questions.</w:t>
      </w:r>
    </w:p>
    <w:p w14:paraId="01DC9DC2" w14:textId="77777777" w:rsidR="00761DE1" w:rsidRPr="00761DE1" w:rsidRDefault="00761DE1" w:rsidP="00761DE1">
      <w:pPr>
        <w:numPr>
          <w:ilvl w:val="0"/>
          <w:numId w:val="6"/>
        </w:numPr>
        <w:tabs>
          <w:tab w:val="left" w:pos="720"/>
        </w:tabs>
        <w:spacing w:line="480" w:lineRule="auto"/>
        <w:jc w:val="both"/>
      </w:pPr>
      <w:r w:rsidRPr="00761DE1">
        <w:t xml:space="preserve">Do you think the ideas in the podcast are useful or not? Why / Why not? </w:t>
      </w:r>
    </w:p>
    <w:p w14:paraId="079CDFD1" w14:textId="77777777" w:rsidR="00761DE1" w:rsidRPr="00761DE1" w:rsidRDefault="00761DE1" w:rsidP="00761DE1">
      <w:pPr>
        <w:numPr>
          <w:ilvl w:val="0"/>
          <w:numId w:val="6"/>
        </w:numPr>
        <w:tabs>
          <w:tab w:val="left" w:pos="720"/>
        </w:tabs>
        <w:spacing w:line="480" w:lineRule="auto"/>
        <w:jc w:val="both"/>
        <w:rPr>
          <w:b/>
          <w:bCs/>
        </w:rPr>
      </w:pPr>
      <w:r w:rsidRPr="00761DE1">
        <w:t>Go to page 135 and find out what Noelle decided to buy</w:t>
      </w:r>
      <w:r w:rsidRPr="00761DE1">
        <w:rPr>
          <w:b/>
          <w:bCs/>
        </w:rPr>
        <w:t>.</w:t>
      </w:r>
    </w:p>
    <w:p w14:paraId="58F1010E" w14:textId="7CEB0410" w:rsidR="00387FB8" w:rsidRPr="00761DE1" w:rsidRDefault="00761DE1" w:rsidP="00AD324E">
      <w:pPr>
        <w:tabs>
          <w:tab w:val="left" w:pos="720"/>
        </w:tabs>
        <w:spacing w:line="480" w:lineRule="auto"/>
        <w:jc w:val="both"/>
        <w:rPr>
          <w:b/>
          <w:bCs/>
        </w:rPr>
      </w:pPr>
      <w:r w:rsidRPr="00761DE1">
        <w:rPr>
          <w:b/>
          <w:bCs/>
        </w:rPr>
        <w:t>Audio Script</w:t>
      </w:r>
    </w:p>
    <w:p w14:paraId="23FC500D" w14:textId="28F8C406" w:rsidR="00761DE1" w:rsidRPr="00761DE1" w:rsidRDefault="00BA10C8" w:rsidP="00AD324E">
      <w:pPr>
        <w:tabs>
          <w:tab w:val="left" w:pos="720"/>
        </w:tabs>
        <w:spacing w:line="480" w:lineRule="auto"/>
        <w:jc w:val="both"/>
      </w:pPr>
      <w:r w:rsidRPr="00BA10C8">
        <w:drawing>
          <wp:inline distT="0" distB="0" distL="0" distR="0" wp14:anchorId="6A84DAFE" wp14:editId="381580D8">
            <wp:extent cx="5435600" cy="3093624"/>
            <wp:effectExtent l="0" t="0" r="0" b="0"/>
            <wp:docPr id="830950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50873" name=""/>
                    <pic:cNvPicPr/>
                  </pic:nvPicPr>
                  <pic:blipFill>
                    <a:blip r:embed="rId21"/>
                    <a:stretch>
                      <a:fillRect/>
                    </a:stretch>
                  </pic:blipFill>
                  <pic:spPr>
                    <a:xfrm>
                      <a:off x="0" y="0"/>
                      <a:ext cx="5449397" cy="3101476"/>
                    </a:xfrm>
                    <a:prstGeom prst="rect">
                      <a:avLst/>
                    </a:prstGeom>
                  </pic:spPr>
                </pic:pic>
              </a:graphicData>
            </a:graphic>
          </wp:inline>
        </w:drawing>
      </w:r>
    </w:p>
    <w:p w14:paraId="700C0161" w14:textId="77777777" w:rsidR="009022A8" w:rsidRPr="008A2BAD" w:rsidRDefault="009022A8" w:rsidP="001A7D1D">
      <w:pPr>
        <w:tabs>
          <w:tab w:val="left" w:pos="720"/>
        </w:tabs>
        <w:jc w:val="both"/>
      </w:pPr>
    </w:p>
    <w:sectPr w:rsidR="009022A8" w:rsidRPr="008A2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E774C"/>
    <w:multiLevelType w:val="multilevel"/>
    <w:tmpl w:val="CDC4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734BB5"/>
    <w:multiLevelType w:val="multilevel"/>
    <w:tmpl w:val="BE7629C2"/>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E204517"/>
    <w:multiLevelType w:val="hybridMultilevel"/>
    <w:tmpl w:val="255C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4E768E"/>
    <w:multiLevelType w:val="multilevel"/>
    <w:tmpl w:val="E62E2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BE76F8"/>
    <w:multiLevelType w:val="multilevel"/>
    <w:tmpl w:val="C804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A3074B"/>
    <w:multiLevelType w:val="hybridMultilevel"/>
    <w:tmpl w:val="3A1C8DA0"/>
    <w:lvl w:ilvl="0" w:tplc="AD2853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384865">
    <w:abstractNumId w:val="5"/>
  </w:num>
  <w:num w:numId="2" w16cid:durableId="1344745470">
    <w:abstractNumId w:val="4"/>
  </w:num>
  <w:num w:numId="3" w16cid:durableId="526605468">
    <w:abstractNumId w:val="2"/>
  </w:num>
  <w:num w:numId="4" w16cid:durableId="659891140">
    <w:abstractNumId w:val="1"/>
  </w:num>
  <w:num w:numId="5" w16cid:durableId="1910112546">
    <w:abstractNumId w:val="0"/>
  </w:num>
  <w:num w:numId="6" w16cid:durableId="1206716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BE"/>
    <w:rsid w:val="00004CCA"/>
    <w:rsid w:val="00011DD7"/>
    <w:rsid w:val="000364BC"/>
    <w:rsid w:val="00057C2B"/>
    <w:rsid w:val="0007259D"/>
    <w:rsid w:val="00074883"/>
    <w:rsid w:val="00082AA4"/>
    <w:rsid w:val="00087907"/>
    <w:rsid w:val="00093C8A"/>
    <w:rsid w:val="000955E5"/>
    <w:rsid w:val="000D1ADE"/>
    <w:rsid w:val="000D59CB"/>
    <w:rsid w:val="0011001D"/>
    <w:rsid w:val="00142B04"/>
    <w:rsid w:val="00186AD4"/>
    <w:rsid w:val="00190DDE"/>
    <w:rsid w:val="001A7D1D"/>
    <w:rsid w:val="002049AA"/>
    <w:rsid w:val="002313AA"/>
    <w:rsid w:val="00252A62"/>
    <w:rsid w:val="002A5794"/>
    <w:rsid w:val="002C7FBB"/>
    <w:rsid w:val="002E7ABB"/>
    <w:rsid w:val="003327F5"/>
    <w:rsid w:val="003579D9"/>
    <w:rsid w:val="00374CD2"/>
    <w:rsid w:val="00387FB8"/>
    <w:rsid w:val="00391D8E"/>
    <w:rsid w:val="003A7B46"/>
    <w:rsid w:val="003E63B6"/>
    <w:rsid w:val="003E68AF"/>
    <w:rsid w:val="003F723B"/>
    <w:rsid w:val="00441172"/>
    <w:rsid w:val="004667FE"/>
    <w:rsid w:val="004846B0"/>
    <w:rsid w:val="004B1DF8"/>
    <w:rsid w:val="004E5CC7"/>
    <w:rsid w:val="00501C8E"/>
    <w:rsid w:val="00510C89"/>
    <w:rsid w:val="00521490"/>
    <w:rsid w:val="00527634"/>
    <w:rsid w:val="00527AD4"/>
    <w:rsid w:val="00540CB5"/>
    <w:rsid w:val="0057553F"/>
    <w:rsid w:val="00576D34"/>
    <w:rsid w:val="005E2651"/>
    <w:rsid w:val="005E5788"/>
    <w:rsid w:val="006078C7"/>
    <w:rsid w:val="00641559"/>
    <w:rsid w:val="00642120"/>
    <w:rsid w:val="006E7969"/>
    <w:rsid w:val="0072019C"/>
    <w:rsid w:val="00725062"/>
    <w:rsid w:val="0073236A"/>
    <w:rsid w:val="007368AF"/>
    <w:rsid w:val="00760F54"/>
    <w:rsid w:val="007614D1"/>
    <w:rsid w:val="00761DE1"/>
    <w:rsid w:val="00782768"/>
    <w:rsid w:val="007A7F09"/>
    <w:rsid w:val="007B6305"/>
    <w:rsid w:val="007D2FFB"/>
    <w:rsid w:val="007D3164"/>
    <w:rsid w:val="007D31BF"/>
    <w:rsid w:val="007F09DA"/>
    <w:rsid w:val="0081623E"/>
    <w:rsid w:val="0085765F"/>
    <w:rsid w:val="00867C0F"/>
    <w:rsid w:val="00882A0C"/>
    <w:rsid w:val="008913E9"/>
    <w:rsid w:val="008A2BAD"/>
    <w:rsid w:val="008C56E4"/>
    <w:rsid w:val="008D1D4A"/>
    <w:rsid w:val="008F3035"/>
    <w:rsid w:val="009018AD"/>
    <w:rsid w:val="009022A8"/>
    <w:rsid w:val="00935306"/>
    <w:rsid w:val="00954693"/>
    <w:rsid w:val="00975FA2"/>
    <w:rsid w:val="0098398C"/>
    <w:rsid w:val="0099670C"/>
    <w:rsid w:val="009A70C3"/>
    <w:rsid w:val="009C5B02"/>
    <w:rsid w:val="00A00699"/>
    <w:rsid w:val="00A02278"/>
    <w:rsid w:val="00A053A1"/>
    <w:rsid w:val="00A42234"/>
    <w:rsid w:val="00A501EA"/>
    <w:rsid w:val="00A54317"/>
    <w:rsid w:val="00A74883"/>
    <w:rsid w:val="00A76170"/>
    <w:rsid w:val="00A92FA8"/>
    <w:rsid w:val="00AB29D3"/>
    <w:rsid w:val="00AB6766"/>
    <w:rsid w:val="00AD324E"/>
    <w:rsid w:val="00AF366B"/>
    <w:rsid w:val="00AF7F82"/>
    <w:rsid w:val="00B012BF"/>
    <w:rsid w:val="00B119BE"/>
    <w:rsid w:val="00B16663"/>
    <w:rsid w:val="00B2229F"/>
    <w:rsid w:val="00B323DF"/>
    <w:rsid w:val="00B47658"/>
    <w:rsid w:val="00B52602"/>
    <w:rsid w:val="00B628A6"/>
    <w:rsid w:val="00B63921"/>
    <w:rsid w:val="00B91892"/>
    <w:rsid w:val="00B9247F"/>
    <w:rsid w:val="00BA10C8"/>
    <w:rsid w:val="00BA3D0A"/>
    <w:rsid w:val="00BB0F29"/>
    <w:rsid w:val="00BB40BE"/>
    <w:rsid w:val="00BD4DC0"/>
    <w:rsid w:val="00BE62D8"/>
    <w:rsid w:val="00C07F7F"/>
    <w:rsid w:val="00C51938"/>
    <w:rsid w:val="00C76570"/>
    <w:rsid w:val="00C77B89"/>
    <w:rsid w:val="00C80B8A"/>
    <w:rsid w:val="00CB6B0E"/>
    <w:rsid w:val="00CC7DF3"/>
    <w:rsid w:val="00D017D0"/>
    <w:rsid w:val="00D2573B"/>
    <w:rsid w:val="00D54BAD"/>
    <w:rsid w:val="00D60437"/>
    <w:rsid w:val="00D85284"/>
    <w:rsid w:val="00DA2629"/>
    <w:rsid w:val="00DB4551"/>
    <w:rsid w:val="00DD247C"/>
    <w:rsid w:val="00DE5460"/>
    <w:rsid w:val="00DF3262"/>
    <w:rsid w:val="00E07EA0"/>
    <w:rsid w:val="00E12DB3"/>
    <w:rsid w:val="00E20E6E"/>
    <w:rsid w:val="00E44636"/>
    <w:rsid w:val="00E602F4"/>
    <w:rsid w:val="00E7730C"/>
    <w:rsid w:val="00E8570D"/>
    <w:rsid w:val="00EA104D"/>
    <w:rsid w:val="00ED109F"/>
    <w:rsid w:val="00F11B63"/>
    <w:rsid w:val="00F142CD"/>
    <w:rsid w:val="00F50D01"/>
    <w:rsid w:val="00F97580"/>
    <w:rsid w:val="00FA0FCA"/>
    <w:rsid w:val="00FA244A"/>
    <w:rsid w:val="00FA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A4629"/>
  <w15:chartTrackingRefBased/>
  <w15:docId w15:val="{E797BF32-46DD-4212-8F8C-E3F063E1B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DD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119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19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19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19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19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19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9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9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9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9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19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19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19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19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1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9BE"/>
    <w:rPr>
      <w:rFonts w:eastAsiaTheme="majorEastAsia" w:cstheme="majorBidi"/>
      <w:color w:val="272727" w:themeColor="text1" w:themeTint="D8"/>
    </w:rPr>
  </w:style>
  <w:style w:type="paragraph" w:styleId="Title">
    <w:name w:val="Title"/>
    <w:basedOn w:val="Normal"/>
    <w:next w:val="Normal"/>
    <w:link w:val="TitleChar"/>
    <w:uiPriority w:val="10"/>
    <w:qFormat/>
    <w:rsid w:val="00B119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9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9BE"/>
    <w:pPr>
      <w:spacing w:before="160"/>
      <w:jc w:val="center"/>
    </w:pPr>
    <w:rPr>
      <w:i/>
      <w:iCs/>
      <w:color w:val="404040" w:themeColor="text1" w:themeTint="BF"/>
    </w:rPr>
  </w:style>
  <w:style w:type="character" w:customStyle="1" w:styleId="QuoteChar">
    <w:name w:val="Quote Char"/>
    <w:basedOn w:val="DefaultParagraphFont"/>
    <w:link w:val="Quote"/>
    <w:uiPriority w:val="29"/>
    <w:rsid w:val="00B119BE"/>
    <w:rPr>
      <w:i/>
      <w:iCs/>
      <w:color w:val="404040" w:themeColor="text1" w:themeTint="BF"/>
    </w:rPr>
  </w:style>
  <w:style w:type="paragraph" w:styleId="ListParagraph">
    <w:name w:val="List Paragraph"/>
    <w:basedOn w:val="Normal"/>
    <w:uiPriority w:val="34"/>
    <w:qFormat/>
    <w:rsid w:val="00B119BE"/>
    <w:pPr>
      <w:ind w:left="720"/>
      <w:contextualSpacing/>
    </w:pPr>
  </w:style>
  <w:style w:type="character" w:styleId="IntenseEmphasis">
    <w:name w:val="Intense Emphasis"/>
    <w:basedOn w:val="DefaultParagraphFont"/>
    <w:uiPriority w:val="21"/>
    <w:qFormat/>
    <w:rsid w:val="00B119BE"/>
    <w:rPr>
      <w:i/>
      <w:iCs/>
      <w:color w:val="2F5496" w:themeColor="accent1" w:themeShade="BF"/>
    </w:rPr>
  </w:style>
  <w:style w:type="paragraph" w:styleId="IntenseQuote">
    <w:name w:val="Intense Quote"/>
    <w:basedOn w:val="Normal"/>
    <w:next w:val="Normal"/>
    <w:link w:val="IntenseQuoteChar"/>
    <w:uiPriority w:val="30"/>
    <w:qFormat/>
    <w:rsid w:val="00B11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19BE"/>
    <w:rPr>
      <w:i/>
      <w:iCs/>
      <w:color w:val="2F5496" w:themeColor="accent1" w:themeShade="BF"/>
    </w:rPr>
  </w:style>
  <w:style w:type="character" w:styleId="IntenseReference">
    <w:name w:val="Intense Reference"/>
    <w:basedOn w:val="DefaultParagraphFont"/>
    <w:uiPriority w:val="32"/>
    <w:qFormat/>
    <w:rsid w:val="00B119BE"/>
    <w:rPr>
      <w:b/>
      <w:bCs/>
      <w:smallCaps/>
      <w:color w:val="2F5496" w:themeColor="accent1" w:themeShade="BF"/>
      <w:spacing w:val="5"/>
    </w:rPr>
  </w:style>
  <w:style w:type="character" w:styleId="Strong">
    <w:name w:val="Strong"/>
    <w:basedOn w:val="DefaultParagraphFont"/>
    <w:uiPriority w:val="22"/>
    <w:qFormat/>
    <w:rsid w:val="006E7969"/>
    <w:rPr>
      <w:b/>
      <w:bCs/>
    </w:rPr>
  </w:style>
  <w:style w:type="table" w:styleId="TableGrid">
    <w:name w:val="Table Grid"/>
    <w:basedOn w:val="TableNormal"/>
    <w:uiPriority w:val="39"/>
    <w:rsid w:val="007B6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E8570D"/>
    <w:pPr>
      <w:spacing w:before="100" w:beforeAutospacing="1" w:after="100" w:afterAutospacing="1"/>
    </w:pPr>
  </w:style>
  <w:style w:type="paragraph" w:styleId="NormalWeb">
    <w:name w:val="Normal (Web)"/>
    <w:basedOn w:val="Normal"/>
    <w:uiPriority w:val="99"/>
    <w:semiHidden/>
    <w:unhideWhenUsed/>
    <w:rsid w:val="00E8570D"/>
    <w:pPr>
      <w:spacing w:before="100" w:beforeAutospacing="1" w:after="100" w:afterAutospacing="1"/>
    </w:pPr>
  </w:style>
  <w:style w:type="character" w:styleId="Hyperlink">
    <w:name w:val="Hyperlink"/>
    <w:basedOn w:val="DefaultParagraphFont"/>
    <w:uiPriority w:val="99"/>
    <w:unhideWhenUsed/>
    <w:rsid w:val="009022A8"/>
    <w:rPr>
      <w:color w:val="0563C1" w:themeColor="hyperlink"/>
      <w:u w:val="single"/>
    </w:rPr>
  </w:style>
  <w:style w:type="character" w:styleId="UnresolvedMention">
    <w:name w:val="Unresolved Mention"/>
    <w:basedOn w:val="DefaultParagraphFont"/>
    <w:uiPriority w:val="99"/>
    <w:semiHidden/>
    <w:unhideWhenUsed/>
    <w:rsid w:val="00902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944-9720.2005.tb02517.x" TargetMode="External"/><Relationship Id="rId13" Type="http://schemas.openxmlformats.org/officeDocument/2006/relationships/hyperlink" Target="https://doi.org/10.1207/S15326985EP3802_1" TargetMode="External"/><Relationship Id="rId18" Type="http://schemas.openxmlformats.org/officeDocument/2006/relationships/hyperlink" Target="https://doi.org/10.1111/j.1467-9922.2009.00559.x"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doi.org/10.1016/j.system.2007.06.003" TargetMode="External"/><Relationship Id="rId12" Type="http://schemas.openxmlformats.org/officeDocument/2006/relationships/hyperlink" Target="https://doi.org/10.1080/10904018.2018.1523679" TargetMode="External"/><Relationship Id="rId17" Type="http://schemas.openxmlformats.org/officeDocument/2006/relationships/hyperlink" Target="https://doi.org/10.1111/1467-9922.00232" TargetMode="External"/><Relationship Id="rId2" Type="http://schemas.openxmlformats.org/officeDocument/2006/relationships/styles" Target="styles.xml"/><Relationship Id="rId16" Type="http://schemas.openxmlformats.org/officeDocument/2006/relationships/hyperlink" Target="https://doi.org/10.1207/s15516709cog1202_4" TargetMode="External"/><Relationship Id="rId20" Type="http://schemas.openxmlformats.org/officeDocument/2006/relationships/hyperlink" Target="https://doi.org/10.17263/jlls.668532" TargetMode="External"/><Relationship Id="rId1" Type="http://schemas.openxmlformats.org/officeDocument/2006/relationships/numbering" Target="numbering.xml"/><Relationship Id="rId6" Type="http://schemas.openxmlformats.org/officeDocument/2006/relationships/hyperlink" Target="https://doi.org/10.1080/09588221.2018.1535508" TargetMode="External"/><Relationship Id="rId11" Type="http://schemas.openxmlformats.org/officeDocument/2006/relationships/hyperlink" Target="https://doi.org/10.1186/s40561-024-00336-1" TargetMode="External"/><Relationship Id="rId5" Type="http://schemas.openxmlformats.org/officeDocument/2006/relationships/hyperlink" Target="https://doi.org/10.46328/ijces.107?utm_source=chatgpt.com" TargetMode="External"/><Relationship Id="rId15" Type="http://schemas.openxmlformats.org/officeDocument/2006/relationships/hyperlink" Target="https://doi.org/10.1111/bjep.12468" TargetMode="External"/><Relationship Id="rId23" Type="http://schemas.openxmlformats.org/officeDocument/2006/relationships/theme" Target="theme/theme1.xml"/><Relationship Id="rId10" Type="http://schemas.openxmlformats.org/officeDocument/2006/relationships/hyperlink" Target="https://doi.org/10.1111/jcal.12610" TargetMode="External"/><Relationship Id="rId19" Type="http://schemas.openxmlformats.org/officeDocument/2006/relationships/hyperlink" Target="https://doi.org/10.1016/j.system.2024.103351" TargetMode="External"/><Relationship Id="rId4" Type="http://schemas.openxmlformats.org/officeDocument/2006/relationships/webSettings" Target="webSettings.xml"/><Relationship Id="rId9" Type="http://schemas.openxmlformats.org/officeDocument/2006/relationships/hyperlink" Target="https://doi.org/10.1016/j.chb.2018.12.023" TargetMode="External"/><Relationship Id="rId14" Type="http://schemas.openxmlformats.org/officeDocument/2006/relationships/hyperlink" Target="https://doi.org/10.1017/CBO978051184474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5181</TotalTime>
  <Pages>23</Pages>
  <Words>6058</Words>
  <Characters>34532</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Pham</dc:creator>
  <cp:keywords/>
  <dc:description/>
  <cp:lastModifiedBy>Huy Pham</cp:lastModifiedBy>
  <cp:revision>214</cp:revision>
  <dcterms:created xsi:type="dcterms:W3CDTF">2026-08-19T22:53:00Z</dcterms:created>
  <dcterms:modified xsi:type="dcterms:W3CDTF">2026-08-26T09:18:00Z</dcterms:modified>
</cp:coreProperties>
</file>